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440" w:lineRule="exact"/>
        <w:contextualSpacing/>
        <w:jc w:val="both"/>
        <w:textAlignment w:val="auto"/>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rPr>
        <w:t xml:space="preserve">证券代码：000966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 xml:space="preserve">证券简称：长源电力       </w:t>
      </w:r>
      <w:r>
        <w:rPr>
          <w:rFonts w:hint="default" w:ascii="Times New Roman" w:hAnsi="Times New Roman" w:cs="Times New Roman"/>
          <w:color w:val="000000"/>
          <w:sz w:val="24"/>
          <w:szCs w:val="24"/>
          <w:lang w:val="en-US" w:eastAsia="zh-CN"/>
        </w:rPr>
        <w:t xml:space="preserve">        </w:t>
      </w:r>
      <w:r>
        <w:rPr>
          <w:rFonts w:hint="default" w:ascii="Times New Roman" w:hAnsi="Times New Roman" w:cs="Times New Roman"/>
          <w:color w:val="000000"/>
          <w:sz w:val="24"/>
          <w:szCs w:val="24"/>
        </w:rPr>
        <w:t>编号：20</w:t>
      </w:r>
      <w:r>
        <w:rPr>
          <w:rFonts w:hint="default" w:ascii="Times New Roman" w:hAnsi="Times New Roman" w:cs="Times New Roman"/>
          <w:color w:val="000000"/>
          <w:sz w:val="24"/>
          <w:szCs w:val="24"/>
          <w:lang w:val="en-US" w:eastAsia="zh-CN"/>
        </w:rPr>
        <w:t>2</w:t>
      </w:r>
      <w:r>
        <w:rPr>
          <w:rFonts w:hint="eastAsia" w:ascii="Times New Roman" w:hAnsi="Times New Roman" w:cs="Times New Roman"/>
          <w:color w:val="000000"/>
          <w:sz w:val="24"/>
          <w:szCs w:val="24"/>
          <w:lang w:val="en-US" w:eastAsia="zh-CN"/>
        </w:rPr>
        <w:t>5</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0</w:t>
      </w:r>
      <w:r>
        <w:rPr>
          <w:rFonts w:hint="eastAsia" w:ascii="Times New Roman" w:hAnsi="Times New Roman" w:cs="Times New Roman"/>
          <w:color w:val="000000"/>
          <w:sz w:val="24"/>
          <w:szCs w:val="24"/>
          <w:lang w:val="en-US" w:eastAsia="zh-CN"/>
        </w:rPr>
        <w:t>3</w:t>
      </w: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24"/>
          <w:szCs w:val="24"/>
          <w:lang w:eastAsia="zh-CN"/>
        </w:rPr>
      </w:pP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32"/>
          <w:szCs w:val="24"/>
        </w:rPr>
      </w:pPr>
      <w:r>
        <w:rPr>
          <w:rFonts w:hint="default" w:ascii="Times New Roman" w:hAnsi="Times New Roman" w:eastAsia="方正小标宋简体" w:cs="Times New Roman"/>
          <w:b w:val="0"/>
          <w:bCs w:val="0"/>
          <w:color w:val="000000"/>
          <w:sz w:val="32"/>
          <w:szCs w:val="24"/>
          <w:lang w:eastAsia="zh-CN"/>
        </w:rPr>
        <w:t>国家能源集团</w:t>
      </w:r>
      <w:r>
        <w:rPr>
          <w:rFonts w:hint="default" w:ascii="Times New Roman" w:hAnsi="Times New Roman" w:eastAsia="方正小标宋简体" w:cs="Times New Roman"/>
          <w:b w:val="0"/>
          <w:bCs w:val="0"/>
          <w:color w:val="000000"/>
          <w:sz w:val="32"/>
          <w:szCs w:val="24"/>
        </w:rPr>
        <w:t>长源电力股份有限公司</w:t>
      </w: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32"/>
          <w:szCs w:val="24"/>
        </w:rPr>
      </w:pPr>
      <w:r>
        <w:rPr>
          <w:rFonts w:hint="default" w:ascii="Times New Roman" w:hAnsi="Times New Roman" w:eastAsia="方正小标宋简体" w:cs="Times New Roman"/>
          <w:b w:val="0"/>
          <w:bCs w:val="0"/>
          <w:color w:val="000000"/>
          <w:sz w:val="32"/>
          <w:szCs w:val="24"/>
        </w:rPr>
        <w:t>投资者关系活动记录表</w:t>
      </w:r>
    </w:p>
    <w:p>
      <w:pPr>
        <w:keepNext w:val="0"/>
        <w:keepLines w:val="0"/>
        <w:pageBreakBefore w:val="0"/>
        <w:widowControl/>
        <w:kinsoku/>
        <w:wordWrap/>
        <w:overflowPunct/>
        <w:topLinePunct w:val="0"/>
        <w:autoSpaceDE/>
        <w:autoSpaceDN/>
        <w:bidi w:val="0"/>
        <w:adjustRightInd/>
        <w:snapToGrid/>
        <w:spacing w:after="0" w:line="440" w:lineRule="exact"/>
        <w:contextualSpacing/>
        <w:jc w:val="center"/>
        <w:textAlignment w:val="auto"/>
        <w:rPr>
          <w:rFonts w:hint="default" w:ascii="Times New Roman" w:hAnsi="Times New Roman" w:eastAsia="方正小标宋简体" w:cs="Times New Roman"/>
          <w:b w:val="0"/>
          <w:bCs w:val="0"/>
          <w:color w:val="000000"/>
          <w:sz w:val="24"/>
          <w:szCs w:val="24"/>
        </w:rPr>
      </w:pPr>
    </w:p>
    <w:tbl>
      <w:tblPr>
        <w:tblStyle w:val="4"/>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1"/>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821" w:type="dxa"/>
            <w:noWrap w:val="0"/>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投资者关系</w:t>
            </w:r>
          </w:p>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eastAsia="宋体" w:cs="Times New Roman"/>
                <w:color w:val="auto"/>
                <w:sz w:val="24"/>
                <w:szCs w:val="21"/>
              </w:rPr>
            </w:pPr>
            <w:r>
              <w:rPr>
                <w:rFonts w:hint="default" w:ascii="Times New Roman" w:hAnsi="Times New Roman" w:eastAsia="宋体" w:cs="Times New Roman"/>
                <w:color w:val="auto"/>
                <w:sz w:val="24"/>
                <w:szCs w:val="21"/>
              </w:rPr>
              <w:t>活动类别</w:t>
            </w:r>
          </w:p>
        </w:tc>
        <w:tc>
          <w:tcPr>
            <w:tcW w:w="7540" w:type="dxa"/>
            <w:noWrap w:val="0"/>
            <w:vAlign w:val="center"/>
          </w:tcPr>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textAlignment w:val="auto"/>
              <w:rPr>
                <w:rFonts w:hint="eastAsia" w:asciiTheme="minorEastAsia" w:hAnsiTheme="minorEastAsia" w:eastAsiaTheme="minorEastAsia" w:cstheme="minorEastAsia"/>
                <w:color w:val="auto"/>
                <w:sz w:val="24"/>
                <w:szCs w:val="21"/>
              </w:rPr>
            </w:pPr>
            <w:r>
              <w:rPr>
                <w:rFonts w:hint="eastAsia" w:asciiTheme="minorEastAsia" w:hAnsiTheme="minorEastAsia" w:eastAsiaTheme="minorEastAsia" w:cstheme="minorEastAsia"/>
                <w:color w:val="auto"/>
                <w:sz w:val="24"/>
                <w:szCs w:val="21"/>
              </w:rPr>
              <w:sym w:font="Wingdings 2" w:char="0052"/>
            </w:r>
            <w:r>
              <w:rPr>
                <w:rFonts w:hint="eastAsia" w:asciiTheme="minorEastAsia" w:hAnsiTheme="minorEastAsia" w:eastAsiaTheme="minorEastAsia" w:cstheme="minorEastAsia"/>
                <w:color w:val="auto"/>
                <w:sz w:val="24"/>
                <w:szCs w:val="21"/>
              </w:rPr>
              <w:t xml:space="preserve">特定对象调研   □分析师会议    □媒体采访   </w:t>
            </w:r>
            <w:r>
              <w:rPr>
                <w:rFonts w:hint="eastAsia" w:asciiTheme="minorEastAsia" w:hAnsiTheme="minorEastAsia" w:eastAsiaTheme="minorEastAsia" w:cstheme="minorEastAsia"/>
                <w:color w:val="auto"/>
                <w:sz w:val="24"/>
                <w:szCs w:val="21"/>
                <w:lang w:val="en-US" w:eastAsia="zh-CN"/>
              </w:rPr>
              <w:t xml:space="preserve"> </w:t>
            </w:r>
            <w:r>
              <w:rPr>
                <w:rFonts w:hint="eastAsia" w:asciiTheme="minorEastAsia" w:hAnsiTheme="minorEastAsia" w:eastAsiaTheme="minorEastAsia" w:cstheme="minorEastAsia"/>
                <w:color w:val="auto"/>
                <w:sz w:val="24"/>
                <w:szCs w:val="21"/>
                <w:lang w:eastAsia="zh-CN"/>
              </w:rPr>
              <w:sym w:font="Wingdings 2" w:char="00A3"/>
            </w:r>
            <w:r>
              <w:rPr>
                <w:rFonts w:hint="eastAsia" w:asciiTheme="minorEastAsia" w:hAnsiTheme="minorEastAsia" w:eastAsiaTheme="minorEastAsia" w:cstheme="minorEastAsia"/>
                <w:color w:val="auto"/>
                <w:sz w:val="24"/>
                <w:szCs w:val="21"/>
              </w:rPr>
              <w:t xml:space="preserve">业绩说明会     </w:t>
            </w:r>
          </w:p>
          <w:p>
            <w:pPr>
              <w:keepNext w:val="0"/>
              <w:keepLines w:val="0"/>
              <w:pageBreakBefore w:val="0"/>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eastAsia="宋体" w:cs="Times New Roman"/>
                <w:color w:val="auto"/>
                <w:sz w:val="24"/>
                <w:szCs w:val="21"/>
              </w:rPr>
            </w:pPr>
            <w:r>
              <w:rPr>
                <w:rFonts w:hint="eastAsia" w:asciiTheme="minorEastAsia" w:hAnsiTheme="minorEastAsia" w:eastAsiaTheme="minorEastAsia" w:cstheme="minorEastAsia"/>
                <w:color w:val="auto"/>
                <w:sz w:val="24"/>
                <w:szCs w:val="21"/>
              </w:rPr>
              <w:t xml:space="preserve">□新闻发布会     □路演活动      </w:t>
            </w:r>
            <w:r>
              <w:rPr>
                <w:rFonts w:hint="eastAsia" w:asciiTheme="minorEastAsia" w:hAnsiTheme="minorEastAsia" w:eastAsiaTheme="minorEastAsia" w:cstheme="minorEastAsia"/>
                <w:color w:val="auto"/>
                <w:sz w:val="24"/>
                <w:szCs w:val="21"/>
                <w:lang w:eastAsia="zh-CN"/>
              </w:rPr>
              <w:t>□</w:t>
            </w:r>
            <w:r>
              <w:rPr>
                <w:rFonts w:hint="eastAsia" w:asciiTheme="minorEastAsia" w:hAnsiTheme="minorEastAsia" w:eastAsiaTheme="minorEastAsia" w:cstheme="minorEastAsia"/>
                <w:color w:val="auto"/>
                <w:sz w:val="24"/>
                <w:szCs w:val="21"/>
              </w:rPr>
              <w:t xml:space="preserve">现场参观    </w:t>
            </w:r>
            <w:r>
              <w:rPr>
                <w:rFonts w:hint="eastAsia" w:asciiTheme="minorEastAsia" w:hAnsiTheme="minorEastAsia" w:eastAsiaTheme="minorEastAsia" w:cstheme="minorEastAsia"/>
                <w:color w:val="auto"/>
                <w:sz w:val="24"/>
                <w:szCs w:val="21"/>
              </w:rPr>
              <w:sym w:font="Wingdings 2" w:char="00A3"/>
            </w:r>
            <w:r>
              <w:rPr>
                <w:rFonts w:hint="eastAsia" w:asciiTheme="minorEastAsia" w:hAnsiTheme="minorEastAsia" w:eastAsiaTheme="minorEastAsia" w:cstheme="minorEastAsia"/>
                <w:color w:val="auto"/>
                <w:sz w:val="24"/>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lang w:eastAsia="zh-CN"/>
              </w:rPr>
            </w:pPr>
            <w:r>
              <w:rPr>
                <w:rFonts w:hint="default" w:ascii="Times New Roman" w:hAnsi="Times New Roman" w:cs="Times New Roman" w:eastAsiaTheme="majorEastAsia"/>
                <w:color w:val="auto"/>
                <w:sz w:val="24"/>
                <w:szCs w:val="24"/>
                <w:lang w:eastAsia="zh-CN"/>
              </w:rPr>
              <w:t>活动</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lang w:eastAsia="zh-CN"/>
              </w:rPr>
            </w:pPr>
            <w:r>
              <w:rPr>
                <w:rFonts w:hint="default" w:ascii="Times New Roman" w:hAnsi="Times New Roman" w:cs="Times New Roman" w:eastAsiaTheme="majorEastAsia"/>
                <w:color w:val="auto"/>
                <w:sz w:val="24"/>
                <w:szCs w:val="24"/>
                <w:lang w:eastAsia="zh-CN"/>
              </w:rPr>
              <w:t>参与人员</w:t>
            </w:r>
          </w:p>
        </w:tc>
        <w:tc>
          <w:tcPr>
            <w:tcW w:w="75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auto"/>
                <w:sz w:val="24"/>
                <w:szCs w:val="24"/>
                <w:lang w:eastAsia="zh-CN"/>
              </w:rPr>
            </w:pPr>
            <w:r>
              <w:rPr>
                <w:rFonts w:hint="default" w:ascii="Times New Roman" w:hAnsi="Times New Roman" w:cs="Times New Roman" w:eastAsiaTheme="majorEastAsia"/>
                <w:color w:val="auto"/>
                <w:sz w:val="24"/>
                <w:szCs w:val="24"/>
                <w:lang w:eastAsia="zh-CN"/>
              </w:rPr>
              <w:t>投资者：</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ind w:firstLine="480" w:firstLineChars="200"/>
              <w:textAlignment w:val="auto"/>
              <w:rPr>
                <w:rFonts w:hint="eastAsia" w:ascii="Times New Roman" w:hAnsi="Times New Roman" w:cs="Times New Roman" w:eastAsiaTheme="majorEastAsia"/>
                <w:color w:val="auto"/>
                <w:sz w:val="24"/>
                <w:szCs w:val="24"/>
                <w:lang w:val="en-US" w:eastAsia="zh-CN"/>
              </w:rPr>
            </w:pPr>
            <w:r>
              <w:rPr>
                <w:rFonts w:hint="default" w:ascii="Times New Roman" w:hAnsi="Times New Roman" w:cs="Times New Roman" w:eastAsiaTheme="majorEastAsia"/>
                <w:color w:val="auto"/>
                <w:sz w:val="24"/>
                <w:szCs w:val="24"/>
                <w:lang w:eastAsia="zh-CN"/>
              </w:rPr>
              <w:t>重庆环保产业私募股权投资基金管理有限公司</w:t>
            </w:r>
            <w:r>
              <w:rPr>
                <w:rFonts w:hint="eastAsia" w:ascii="Times New Roman" w:hAnsi="Times New Roman" w:cs="Times New Roman" w:eastAsiaTheme="majorEastAsia"/>
                <w:color w:val="auto"/>
                <w:sz w:val="24"/>
                <w:szCs w:val="24"/>
                <w:lang w:eastAsia="zh-CN"/>
              </w:rPr>
              <w:t>（定增投资者）</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eastAsia" w:ascii="Times New Roman" w:hAnsi="Times New Roman" w:cs="Times New Roman" w:eastAsiaTheme="majorEastAsia"/>
                <w:color w:val="auto"/>
                <w:sz w:val="24"/>
                <w:szCs w:val="24"/>
                <w:lang w:val="en-US" w:eastAsia="zh-CN"/>
              </w:rPr>
            </w:pPr>
            <w:r>
              <w:rPr>
                <w:rFonts w:hint="default" w:ascii="Times New Roman" w:hAnsi="Times New Roman" w:cs="Times New Roman" w:eastAsiaTheme="majorEastAsia"/>
                <w:color w:val="auto"/>
                <w:sz w:val="24"/>
                <w:szCs w:val="24"/>
                <w:lang w:eastAsia="zh-CN"/>
              </w:rPr>
              <w:t>长源电力：</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ind w:firstLine="480" w:firstLineChars="200"/>
              <w:textAlignment w:val="auto"/>
              <w:rPr>
                <w:rFonts w:hint="eastAsia" w:ascii="Times New Roman" w:hAnsi="Times New Roman" w:cs="Times New Roman" w:eastAsiaTheme="majorEastAsia"/>
                <w:color w:val="auto"/>
                <w:sz w:val="24"/>
                <w:szCs w:val="24"/>
                <w:lang w:val="en-US" w:eastAsia="zh-CN"/>
              </w:rPr>
            </w:pPr>
            <w:r>
              <w:rPr>
                <w:rFonts w:hint="eastAsia" w:ascii="Times New Roman" w:hAnsi="Times New Roman" w:cs="Times New Roman" w:eastAsiaTheme="majorEastAsia"/>
                <w:color w:val="auto"/>
                <w:sz w:val="24"/>
                <w:szCs w:val="24"/>
                <w:lang w:val="en-US" w:eastAsia="zh-CN"/>
              </w:rPr>
              <w:t>潘承亮（董事会秘书）</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ind w:left="480" w:leftChars="218" w:firstLine="0" w:firstLineChars="0"/>
              <w:textAlignment w:val="auto"/>
              <w:rPr>
                <w:rFonts w:hint="default" w:ascii="Times New Roman" w:hAnsi="Times New Roman" w:cs="Times New Roman" w:eastAsiaTheme="majorEastAsia"/>
                <w:color w:val="auto"/>
                <w:sz w:val="24"/>
                <w:szCs w:val="24"/>
                <w:lang w:val="en-US" w:eastAsia="zh-CN"/>
              </w:rPr>
            </w:pPr>
            <w:r>
              <w:rPr>
                <w:rFonts w:hint="eastAsia" w:ascii="Times New Roman" w:hAnsi="Times New Roman" w:cs="Times New Roman" w:eastAsiaTheme="majorEastAsia"/>
                <w:color w:val="auto"/>
                <w:sz w:val="24"/>
                <w:szCs w:val="24"/>
                <w:lang w:val="en-US" w:eastAsia="zh-CN"/>
              </w:rPr>
              <w:t>规划发展部、财务部、工程建设部、市场营销部、燃料采购部、证券与企业管理部有关人员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时间</w:t>
            </w:r>
          </w:p>
        </w:tc>
        <w:tc>
          <w:tcPr>
            <w:tcW w:w="75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auto"/>
                <w:sz w:val="24"/>
                <w:szCs w:val="24"/>
                <w:lang w:val="en-US" w:eastAsia="zh-CN"/>
              </w:rPr>
            </w:pPr>
            <w:r>
              <w:rPr>
                <w:rFonts w:hint="default" w:ascii="Times New Roman" w:hAnsi="Times New Roman" w:cs="Times New Roman" w:eastAsiaTheme="majorEastAsia"/>
                <w:color w:val="auto"/>
                <w:sz w:val="24"/>
                <w:szCs w:val="24"/>
                <w:lang w:val="en-US" w:eastAsia="zh-CN"/>
              </w:rPr>
              <w:t>2025年</w:t>
            </w:r>
            <w:r>
              <w:rPr>
                <w:rFonts w:hint="eastAsia" w:ascii="Times New Roman" w:hAnsi="Times New Roman" w:cs="Times New Roman" w:eastAsiaTheme="majorEastAsia"/>
                <w:color w:val="auto"/>
                <w:sz w:val="24"/>
                <w:szCs w:val="24"/>
                <w:lang w:val="en-US" w:eastAsia="zh-CN"/>
              </w:rPr>
              <w:t>6</w:t>
            </w:r>
            <w:r>
              <w:rPr>
                <w:rFonts w:hint="default" w:ascii="Times New Roman" w:hAnsi="Times New Roman" w:cs="Times New Roman" w:eastAsiaTheme="majorEastAsia"/>
                <w:color w:val="auto"/>
                <w:sz w:val="24"/>
                <w:szCs w:val="24"/>
                <w:lang w:val="en-US" w:eastAsia="zh-CN"/>
              </w:rPr>
              <w:t>月</w:t>
            </w:r>
            <w:r>
              <w:rPr>
                <w:rFonts w:hint="eastAsia" w:ascii="Times New Roman" w:hAnsi="Times New Roman" w:cs="Times New Roman" w:eastAsiaTheme="majorEastAsia"/>
                <w:color w:val="auto"/>
                <w:sz w:val="24"/>
                <w:szCs w:val="24"/>
                <w:lang w:val="en-US" w:eastAsia="zh-CN"/>
              </w:rPr>
              <w:t>18</w:t>
            </w:r>
            <w:r>
              <w:rPr>
                <w:rFonts w:hint="default" w:ascii="Times New Roman" w:hAnsi="Times New Roman" w:cs="Times New Roman" w:eastAsiaTheme="majorEastAsia"/>
                <w:color w:val="auto"/>
                <w:sz w:val="24"/>
                <w:szCs w:val="24"/>
                <w:lang w:val="en-US" w:eastAsia="zh-CN"/>
              </w:rPr>
              <w:t>日（星期</w:t>
            </w:r>
            <w:r>
              <w:rPr>
                <w:rFonts w:hint="eastAsia" w:ascii="Times New Roman" w:hAnsi="Times New Roman" w:cs="Times New Roman" w:eastAsiaTheme="majorEastAsia"/>
                <w:color w:val="auto"/>
                <w:sz w:val="24"/>
                <w:szCs w:val="24"/>
                <w:lang w:val="en-US" w:eastAsia="zh-CN"/>
              </w:rPr>
              <w:t>三</w:t>
            </w:r>
            <w:r>
              <w:rPr>
                <w:rFonts w:hint="default" w:ascii="Times New Roman" w:hAnsi="Times New Roman" w:cs="Times New Roman" w:eastAsiaTheme="majorEastAsia"/>
                <w:color w:val="auto"/>
                <w:sz w:val="24"/>
                <w:szCs w:val="24"/>
                <w:lang w:val="en-US" w:eastAsia="zh-CN"/>
              </w:rPr>
              <w:t>）1</w:t>
            </w:r>
            <w:r>
              <w:rPr>
                <w:rFonts w:hint="eastAsia" w:ascii="Times New Roman" w:hAnsi="Times New Roman" w:cs="Times New Roman" w:eastAsiaTheme="majorEastAsia"/>
                <w:color w:val="auto"/>
                <w:sz w:val="24"/>
                <w:szCs w:val="24"/>
                <w:lang w:val="en-US" w:eastAsia="zh-CN"/>
              </w:rPr>
              <w:t>0</w:t>
            </w:r>
            <w:r>
              <w:rPr>
                <w:rFonts w:hint="default" w:ascii="Times New Roman" w:hAnsi="Times New Roman" w:cs="Times New Roman" w:eastAsiaTheme="majorEastAsia"/>
                <w:color w:val="auto"/>
                <w:sz w:val="24"/>
                <w:szCs w:val="24"/>
                <w:lang w:val="en-US" w:eastAsia="zh-CN"/>
              </w:rPr>
              <w:t>:</w:t>
            </w:r>
            <w:r>
              <w:rPr>
                <w:rFonts w:hint="eastAsia" w:ascii="Times New Roman" w:hAnsi="Times New Roman" w:cs="Times New Roman" w:eastAsiaTheme="majorEastAsia"/>
                <w:color w:val="auto"/>
                <w:sz w:val="24"/>
                <w:szCs w:val="24"/>
                <w:lang w:val="en-US" w:eastAsia="zh-CN"/>
              </w:rPr>
              <w:t>00</w:t>
            </w:r>
            <w:r>
              <w:rPr>
                <w:rFonts w:hint="default" w:ascii="Times New Roman" w:hAnsi="Times New Roman" w:cs="Times New Roman" w:eastAsiaTheme="majorEastAsia"/>
                <w:color w:val="auto"/>
                <w:sz w:val="24"/>
                <w:szCs w:val="24"/>
                <w:lang w:val="en-US" w:eastAsia="zh-CN"/>
              </w:rPr>
              <w:t>~1</w:t>
            </w:r>
            <w:r>
              <w:rPr>
                <w:rFonts w:hint="eastAsia" w:ascii="Times New Roman" w:hAnsi="Times New Roman" w:cs="Times New Roman" w:eastAsiaTheme="majorEastAsia"/>
                <w:color w:val="auto"/>
                <w:sz w:val="24"/>
                <w:szCs w:val="24"/>
                <w:lang w:val="en-US" w:eastAsia="zh-CN"/>
              </w:rPr>
              <w:t>0</w:t>
            </w:r>
            <w:r>
              <w:rPr>
                <w:rFonts w:hint="default" w:ascii="Times New Roman" w:hAnsi="Times New Roman" w:cs="Times New Roman" w:eastAsiaTheme="majorEastAsia"/>
                <w:color w:val="auto"/>
                <w:sz w:val="24"/>
                <w:szCs w:val="24"/>
                <w:lang w:val="en-US" w:eastAsia="zh-CN"/>
              </w:rPr>
              <w:t>:</w:t>
            </w:r>
            <w:r>
              <w:rPr>
                <w:rFonts w:hint="eastAsia" w:ascii="Times New Roman" w:hAnsi="Times New Roman" w:cs="Times New Roman" w:eastAsiaTheme="majorEastAsia"/>
                <w:color w:val="auto"/>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地点</w:t>
            </w:r>
          </w:p>
        </w:tc>
        <w:tc>
          <w:tcPr>
            <w:tcW w:w="75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auto"/>
                <w:sz w:val="24"/>
                <w:szCs w:val="24"/>
                <w:lang w:val="en-US" w:eastAsia="zh-CN"/>
              </w:rPr>
            </w:pPr>
            <w:r>
              <w:rPr>
                <w:rFonts w:hint="default" w:ascii="Times New Roman" w:hAnsi="Times New Roman" w:cs="Times New Roman" w:eastAsiaTheme="majorEastAsia"/>
                <w:color w:val="auto"/>
                <w:sz w:val="24"/>
                <w:szCs w:val="24"/>
                <w:lang w:val="en-US" w:eastAsia="zh-CN"/>
              </w:rPr>
              <w:t>武汉市洪山区徐东大街63号国家能源大厦206会议室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tcMar>
              <w:left w:w="0" w:type="dxa"/>
              <w:right w:w="0" w:type="dxa"/>
            </w:tcMar>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lang w:eastAsia="zh-CN"/>
              </w:rPr>
            </w:pPr>
            <w:r>
              <w:rPr>
                <w:rFonts w:hint="default" w:ascii="Times New Roman" w:hAnsi="Times New Roman" w:cs="Times New Roman" w:eastAsiaTheme="majorEastAsia"/>
                <w:color w:val="auto"/>
                <w:sz w:val="24"/>
                <w:szCs w:val="24"/>
                <w:lang w:eastAsia="zh-CN"/>
              </w:rPr>
              <w:t>形式</w:t>
            </w:r>
          </w:p>
        </w:tc>
        <w:tc>
          <w:tcPr>
            <w:tcW w:w="7540"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textAlignment w:val="auto"/>
              <w:rPr>
                <w:rFonts w:hint="default" w:ascii="Times New Roman" w:hAnsi="Times New Roman" w:cs="Times New Roman" w:eastAsiaTheme="majorEastAsia"/>
                <w:color w:val="auto"/>
                <w:sz w:val="24"/>
                <w:szCs w:val="24"/>
                <w:lang w:eastAsia="zh-CN"/>
              </w:rPr>
            </w:pPr>
            <w:r>
              <w:rPr>
                <w:rFonts w:hint="eastAsia" w:ascii="Times New Roman" w:hAnsi="Times New Roman" w:cs="Times New Roman" w:eastAsiaTheme="majorEastAsia"/>
                <w:color w:val="auto"/>
                <w:sz w:val="24"/>
                <w:szCs w:val="24"/>
                <w:lang w:eastAsia="zh-CN"/>
              </w:rPr>
              <w:t>线上交流（腾讯会议）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交流内容及</w:t>
            </w:r>
          </w:p>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具体问答记录</w:t>
            </w:r>
          </w:p>
        </w:tc>
        <w:tc>
          <w:tcPr>
            <w:tcW w:w="7540" w:type="dxa"/>
            <w:noWrap w:val="0"/>
            <w:vAlign w:val="center"/>
          </w:tcPr>
          <w:p>
            <w:pPr>
              <w:keepNext w:val="0"/>
              <w:keepLines w:val="0"/>
              <w:pageBreakBefore w:val="0"/>
              <w:widowControl/>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公司未来业绩的预期？</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公司经营业绩受电力、煤炭、资金市场等多重因素影响，公司坚持聚焦市场营销增收提效、聚焦燃料采购降本提效、聚焦财务资金管控提效，努力提升盈利能力和经营业绩水平。关于公司未来业绩情况，请参阅公司在指定媒体披露的半年度报告、季度报告等定期报告。</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2025年公司电煤长协量价情况？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2025年，公司按照国家电煤中长协政策要求，长协签约量达到电煤需求计划的80%以上，价格执行“基准+浮动”的定价机制。1-5月份，公司根据实际电煤需求变化等因素，加强长协履约量价管控，长协入厂标煤单价同比下降。</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火电在目前国内能源结构的地位，未来的发展趋势？</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火电当前仍是国内能源结构的支柱，承担着‌电力供应稳定保障和‌能源转型过渡支撑的双重使命。截至2024年底，全国全口径火电装机容量为14.4亿千瓦，其中煤电占11.9亿千瓦，占总发电装机容量的比重为35.7%，尽管占比有所下降，但伴随火电的技术升级与功能优化，使其在能源安全稳定体系中不可替代。‌未来火电将从主力基荷电源转向‌“调峰备用+基荷保障”双重功能，重点增强灵活性以适配新能源高比例接入的电力系统，探索与新型电力系统发展相适应的新一代煤电发展路径。</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公司新能源板块的装机进度？</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截至2025年5月31日，公司新能源项目累计投产约260.4万千瓦，其中风电投产26.4万千瓦、光伏投产234万千瓦。预计2025年年底新能源装机达到约270万千瓦。10个募投项目投产约138万千瓦，预计年底投产约145万千瓦。</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近年来国资委、中国证监会大力推进上市公司市值管理，请问长源电力在市值管理方面有什么安排？</w:t>
            </w:r>
            <w:bookmarkStart w:id="0" w:name="_GoBack"/>
            <w:bookmarkEnd w:id="0"/>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2024年以来，国资委、中国证监会出台了一系列政策，就改进和加强央企控股上市公司市值管理工作进行部署。公司将以“八提升”改进和加强市值管理工作，即：提升经营业绩、提升投资者回报、提升信息披露质量、提升ESG工作能力、提升投资者关系管理效能、提升资本运作水平、提升公司治理质效、提升市值管理规范化水平。</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目前公司火电的发电设备利用小时数？</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答：公司1-5月份火电发电设备平均利用小时1515小时。</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当前煤电容量电价政策落地情况？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答：湖北省燃煤机组执行“两部制”电价，最终上网电价包含“容量电价+电量电价”两部分，容量电价100元/千瓦▪年，按月结算。</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8. 湖北省电力市场化进度，电力市场化对公司营收的影响？</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答：湖北省电力现货市场建设已取得突破性进展，于2025年6月6日由连续结算试运行转入正式运行。公司积极参与电力市场交易，严格遵守市场秩序，合理运用市场规则，动态调整交易策略，努力提升公司创效水平。                       </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9. 136号文对公司的影响？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auto"/>
                <w:lang w:val="en-US" w:eastAsia="zh-CN"/>
              </w:rPr>
            </w:pPr>
            <w:r>
              <w:rPr>
                <w:rFonts w:hint="eastAsia" w:asciiTheme="minorEastAsia" w:hAnsiTheme="minorEastAsia" w:eastAsiaTheme="minorEastAsia" w:cstheme="minorEastAsia"/>
                <w:color w:val="auto"/>
                <w:sz w:val="24"/>
                <w:szCs w:val="24"/>
                <w:lang w:val="en-US" w:eastAsia="zh-CN"/>
              </w:rPr>
              <w:t>答：136号文是今年国家能源局推动新能源电力市场化改革的一份重要政策文件。文件明确了新能源全部上网、完善现货市场价格机制、建立新能源可持续发展价格结算机制、取消参与市场的新能源强制消纳、新能源强制配储等政策，将有利于推动新能源长期稳定发展。公司将深度把握电力市场化改革机遇，依托专业交易团队的技术优势，以更加精准、灵活的方式调整交易策略、优化电价水平，确保公司在激烈的市场竞争中占据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cs="Times New Roman" w:eastAsiaTheme="majorEastAsia"/>
                <w:color w:val="auto"/>
                <w:sz w:val="24"/>
                <w:szCs w:val="24"/>
              </w:rPr>
            </w:pPr>
            <w:r>
              <w:rPr>
                <w:rFonts w:hint="default" w:ascii="Times New Roman" w:hAnsi="Times New Roman" w:cs="Times New Roman" w:eastAsiaTheme="majorEastAsia"/>
                <w:color w:val="auto"/>
                <w:sz w:val="24"/>
                <w:szCs w:val="24"/>
              </w:rPr>
              <w:t>关于本次活动是否涉及应披露重大信息的说明</w:t>
            </w:r>
          </w:p>
        </w:tc>
        <w:tc>
          <w:tcPr>
            <w:tcW w:w="7540" w:type="dxa"/>
            <w:noWrap w:val="0"/>
            <w:vAlign w:val="center"/>
          </w:tcPr>
          <w:p>
            <w:pPr>
              <w:keepNext w:val="0"/>
              <w:keepLines w:val="0"/>
              <w:pageBreakBefore w:val="0"/>
              <w:widowControl/>
              <w:kinsoku/>
              <w:wordWrap/>
              <w:overflowPunct/>
              <w:topLinePunct w:val="0"/>
              <w:autoSpaceDE/>
              <w:autoSpaceDN/>
              <w:bidi w:val="0"/>
              <w:adjustRightInd/>
              <w:snapToGrid/>
              <w:spacing w:after="0" w:line="380" w:lineRule="exact"/>
              <w:contextualSpacing/>
              <w:jc w:val="both"/>
              <w:textAlignment w:val="auto"/>
              <w:rPr>
                <w:rFonts w:hint="default" w:ascii="Times New Roman" w:hAnsi="Times New Roman" w:cs="Times New Roman" w:eastAsiaTheme="majorEastAsia"/>
                <w:color w:val="auto"/>
                <w:sz w:val="24"/>
                <w:szCs w:val="24"/>
                <w:lang w:eastAsia="zh-CN"/>
              </w:rPr>
            </w:pPr>
            <w:r>
              <w:rPr>
                <w:rFonts w:hint="default" w:ascii="Times New Roman" w:hAnsi="Times New Roman" w:cs="Times New Roman" w:eastAsiaTheme="majorEastAsia"/>
                <w:color w:val="auto"/>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1" w:type="dxa"/>
            <w:noWrap w:val="0"/>
            <w:vAlign w:val="center"/>
          </w:tcPr>
          <w:p>
            <w:pPr>
              <w:keepNext w:val="0"/>
              <w:keepLines w:val="0"/>
              <w:pageBreakBefore w:val="0"/>
              <w:widowControl/>
              <w:tabs>
                <w:tab w:val="center" w:pos="4153"/>
                <w:tab w:val="right" w:pos="8306"/>
              </w:tabs>
              <w:kinsoku/>
              <w:wordWrap/>
              <w:overflowPunct/>
              <w:topLinePunct w:val="0"/>
              <w:autoSpaceDE/>
              <w:autoSpaceDN/>
              <w:bidi w:val="0"/>
              <w:adjustRightInd/>
              <w:snapToGrid w:val="0"/>
              <w:spacing w:after="0" w:line="380" w:lineRule="exact"/>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活动过程中所使用的演示文稿、提供的文档等附件（如有，可作为附件）</w:t>
            </w:r>
          </w:p>
        </w:tc>
        <w:tc>
          <w:tcPr>
            <w:tcW w:w="7540" w:type="dxa"/>
            <w:noWrap w:val="0"/>
            <w:vAlign w:val="center"/>
          </w:tcPr>
          <w:p>
            <w:pPr>
              <w:keepNext w:val="0"/>
              <w:keepLines w:val="0"/>
              <w:pageBreakBefore w:val="0"/>
              <w:widowControl/>
              <w:numPr>
                <w:ilvl w:val="0"/>
                <w:numId w:val="0"/>
              </w:numPr>
              <w:tabs>
                <w:tab w:val="center" w:pos="4153"/>
                <w:tab w:val="right" w:pos="8306"/>
              </w:tabs>
              <w:kinsoku/>
              <w:wordWrap/>
              <w:overflowPunct/>
              <w:topLinePunct w:val="0"/>
              <w:autoSpaceDE/>
              <w:autoSpaceDN/>
              <w:bidi w:val="0"/>
              <w:adjustRightInd/>
              <w:snapToGrid w:val="0"/>
              <w:spacing w:after="0" w:line="380" w:lineRule="exact"/>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无</w:t>
            </w:r>
          </w:p>
        </w:tc>
      </w:tr>
    </w:tbl>
    <w:p/>
    <w:sectPr>
      <w:footerReference r:id="rId3" w:type="default"/>
      <w:pgSz w:w="12240" w:h="15840"/>
      <w:pgMar w:top="1134" w:right="1701" w:bottom="1134" w:left="1701" w:header="567" w:footer="56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9D4A05"/>
    <w:multiLevelType w:val="singleLevel"/>
    <w:tmpl w:val="D99D4A0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812D1"/>
    <w:rsid w:val="02702FA4"/>
    <w:rsid w:val="03EB5645"/>
    <w:rsid w:val="05957C05"/>
    <w:rsid w:val="05E61D10"/>
    <w:rsid w:val="083812D1"/>
    <w:rsid w:val="0A871AD6"/>
    <w:rsid w:val="0CD16DB4"/>
    <w:rsid w:val="13757ACD"/>
    <w:rsid w:val="1597787A"/>
    <w:rsid w:val="159D54DD"/>
    <w:rsid w:val="16806CCF"/>
    <w:rsid w:val="18935F5E"/>
    <w:rsid w:val="195C7A6F"/>
    <w:rsid w:val="199C1CAB"/>
    <w:rsid w:val="19F530A3"/>
    <w:rsid w:val="1A592637"/>
    <w:rsid w:val="1AA05F1D"/>
    <w:rsid w:val="1B8F1D8F"/>
    <w:rsid w:val="1D6938BA"/>
    <w:rsid w:val="1D7813D1"/>
    <w:rsid w:val="1D8E5120"/>
    <w:rsid w:val="1E982BF1"/>
    <w:rsid w:val="1EA921E2"/>
    <w:rsid w:val="21D10405"/>
    <w:rsid w:val="23037C74"/>
    <w:rsid w:val="235D0343"/>
    <w:rsid w:val="26756977"/>
    <w:rsid w:val="268F4028"/>
    <w:rsid w:val="27E41669"/>
    <w:rsid w:val="29085450"/>
    <w:rsid w:val="2AAC182B"/>
    <w:rsid w:val="2E700DE4"/>
    <w:rsid w:val="2F7420ED"/>
    <w:rsid w:val="30572119"/>
    <w:rsid w:val="31A43150"/>
    <w:rsid w:val="31AF7290"/>
    <w:rsid w:val="31B16572"/>
    <w:rsid w:val="32A52E02"/>
    <w:rsid w:val="34BC7662"/>
    <w:rsid w:val="3549260A"/>
    <w:rsid w:val="36732A0F"/>
    <w:rsid w:val="39CC343D"/>
    <w:rsid w:val="3ACA0417"/>
    <w:rsid w:val="3C792D83"/>
    <w:rsid w:val="3D22095C"/>
    <w:rsid w:val="3E4601B0"/>
    <w:rsid w:val="3E614983"/>
    <w:rsid w:val="3F4004C7"/>
    <w:rsid w:val="40EF5725"/>
    <w:rsid w:val="41857993"/>
    <w:rsid w:val="436C3967"/>
    <w:rsid w:val="44907CC1"/>
    <w:rsid w:val="460226BD"/>
    <w:rsid w:val="475C7D83"/>
    <w:rsid w:val="48233EE8"/>
    <w:rsid w:val="49345036"/>
    <w:rsid w:val="4B453A41"/>
    <w:rsid w:val="4B5E0443"/>
    <w:rsid w:val="4B890A97"/>
    <w:rsid w:val="4CDD0076"/>
    <w:rsid w:val="4D5667AB"/>
    <w:rsid w:val="4DDD110E"/>
    <w:rsid w:val="4E1919F8"/>
    <w:rsid w:val="4E676C7D"/>
    <w:rsid w:val="50C4711D"/>
    <w:rsid w:val="511469B1"/>
    <w:rsid w:val="513335B2"/>
    <w:rsid w:val="513D5266"/>
    <w:rsid w:val="514935C9"/>
    <w:rsid w:val="53A235C5"/>
    <w:rsid w:val="55F76965"/>
    <w:rsid w:val="569B3B0C"/>
    <w:rsid w:val="57545A82"/>
    <w:rsid w:val="5A256434"/>
    <w:rsid w:val="5B653234"/>
    <w:rsid w:val="5BED535D"/>
    <w:rsid w:val="5C0C3353"/>
    <w:rsid w:val="5C7165C3"/>
    <w:rsid w:val="5C9A5B38"/>
    <w:rsid w:val="5CF33B90"/>
    <w:rsid w:val="5E9C27B0"/>
    <w:rsid w:val="5EA94AA2"/>
    <w:rsid w:val="5EC50F25"/>
    <w:rsid w:val="5FB61453"/>
    <w:rsid w:val="5FFB07B8"/>
    <w:rsid w:val="60333D83"/>
    <w:rsid w:val="62FC7E58"/>
    <w:rsid w:val="64DF7908"/>
    <w:rsid w:val="664F2482"/>
    <w:rsid w:val="6A23791F"/>
    <w:rsid w:val="6AE75B9E"/>
    <w:rsid w:val="6CF61FC1"/>
    <w:rsid w:val="6D1B2A48"/>
    <w:rsid w:val="6D722D12"/>
    <w:rsid w:val="6DAA3C15"/>
    <w:rsid w:val="6EC863D7"/>
    <w:rsid w:val="70D16026"/>
    <w:rsid w:val="73591031"/>
    <w:rsid w:val="73D80D2C"/>
    <w:rsid w:val="76443FD3"/>
    <w:rsid w:val="76B07CC5"/>
    <w:rsid w:val="76B34C37"/>
    <w:rsid w:val="77676EE5"/>
    <w:rsid w:val="79663F11"/>
    <w:rsid w:val="7E917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宋体" w:cs="Times New Roman"/>
      <w:kern w:val="0"/>
      <w:sz w:val="22"/>
      <w:szCs w:val="22"/>
      <w:lang w:val="en-US" w:eastAsia="zh-CN" w:bidi="ar-SA"/>
    </w:rPr>
  </w:style>
  <w:style w:type="paragraph" w:styleId="2">
    <w:name w:val="heading 1"/>
    <w:basedOn w:val="1"/>
    <w:next w:val="1"/>
    <w:qFormat/>
    <w:uiPriority w:val="1"/>
    <w:pPr>
      <w:keepNext/>
      <w:keepLines/>
      <w:widowControl w:val="0"/>
      <w:spacing w:before="340" w:after="33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cy</Company>
  <Pages>1</Pages>
  <Words>0</Words>
  <Characters>0</Characters>
  <Lines>0</Lines>
  <Paragraphs>0</Paragraphs>
  <TotalTime>33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2022-03-30T06:53:00Z</dcterms:created>
  <dc:creator>叶建兵</dc:creator>
  <cp:lastModifiedBy>叶建兵</cp:lastModifiedBy>
  <cp:lastPrinted>2025-06-13T05:59:00Z</cp:lastPrinted>
  <dcterms:modified xsi:type="dcterms:W3CDTF">2025-06-20T01:13:52Z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D36735215A2C4BAB8D22D9C21BD00321</vt:lpwstr>
  </property>
</Properties>
</file>