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证券代码：000966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证券简称：长源电力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公告编号：</w:t>
      </w:r>
      <w:r>
        <w:rPr>
          <w:rFonts w:hint="default" w:ascii="Times New Roman" w:hAnsi="Times New Roman" w:eastAsia="宋体" w:cs="Times New Roman"/>
          <w:sz w:val="21"/>
          <w:szCs w:val="21"/>
          <w:lang w:val="en-US" w:eastAsia="zh-CN"/>
        </w:rPr>
        <w:t>2025-0</w:t>
      </w:r>
      <w:r>
        <w:rPr>
          <w:rFonts w:hint="eastAsia" w:cs="Times New Roman"/>
          <w:sz w:val="21"/>
          <w:szCs w:val="21"/>
          <w:lang w:val="en-US" w:eastAsia="zh-CN"/>
        </w:rPr>
        <w:t>76</w:t>
      </w:r>
    </w:p>
    <w:p>
      <w:pPr>
        <w:spacing w:before="200" w:after="200" w:line="400" w:lineRule="exact"/>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国家能源集团长源电力股份有限公司</w:t>
      </w:r>
    </w:p>
    <w:p>
      <w:pPr>
        <w:spacing w:before="200" w:after="200" w:line="400" w:lineRule="exact"/>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本公司及董事会全体成员保证信息披露的内容真实、准确、完整，没有虚假记载、误导性陈述或重大遗漏。</w:t>
      </w:r>
    </w:p>
    <w:p>
      <w:pPr>
        <w:spacing w:before="40" w:after="40" w:line="42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重要内容提示：</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1.董事会及董事、高级管理人员保证季度报告的真实、准确、完整，不存在虚假记载、误导性陈述或重大遗漏，并承担个别和连带的法律责任。</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2.公司负责人、主管会计工作负责人及会计机构负责人(会计主管人员)声明：保证季度报告中财务信息的真实、准确、完整。</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3.第三季度财务会计报告是否经过审计</w:t>
      </w:r>
    </w:p>
    <w:p>
      <w:pPr>
        <w:spacing w:before="100" w:after="100"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是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否</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12"/>
        <w:keepNext/>
        <w:keepLines/>
        <w:spacing w:before="300" w:after="300" w:line="320" w:lineRule="exact"/>
        <w:jc w:val="left"/>
        <w:outlineLvl w:val="0"/>
        <w:rPr>
          <w:rFonts w:hint="default" w:ascii="Times New Roman" w:hAnsi="Times New Roman" w:eastAsia="宋体" w:cs="Times New Roman"/>
          <w:b/>
          <w:bCs/>
          <w:sz w:val="24"/>
          <w:szCs w:val="24"/>
        </w:rPr>
      </w:pPr>
      <w:bookmarkStart w:id="0" w:name="_Toc988889"/>
      <w:r>
        <w:rPr>
          <w:rFonts w:hint="default" w:ascii="Times New Roman" w:hAnsi="Times New Roman" w:eastAsia="宋体" w:cs="Times New Roman"/>
          <w:b/>
          <w:bCs/>
          <w:sz w:val="24"/>
          <w:szCs w:val="24"/>
        </w:rPr>
        <w:t>一、主要财务数据</w:t>
      </w:r>
      <w:bookmarkEnd w:id="0"/>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1" w:name="_Toc988890"/>
      <w:r>
        <w:rPr>
          <w:rFonts w:hint="default" w:ascii="Times New Roman" w:hAnsi="Times New Roman" w:eastAsia="宋体" w:cs="Times New Roman"/>
          <w:b/>
          <w:bCs/>
          <w:sz w:val="21"/>
          <w:szCs w:val="21"/>
        </w:rPr>
        <w:t>（一） 主要会计数</w:t>
      </w:r>
      <w:bookmarkStart w:id="7" w:name="_GoBack"/>
      <w:bookmarkEnd w:id="7"/>
      <w:r>
        <w:rPr>
          <w:rFonts w:hint="default" w:ascii="Times New Roman" w:hAnsi="Times New Roman" w:eastAsia="宋体" w:cs="Times New Roman"/>
          <w:b/>
          <w:bCs/>
          <w:sz w:val="21"/>
          <w:szCs w:val="21"/>
        </w:rPr>
        <w:t>据和财务指标</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公司是否需追溯调整或重述以前年度会计数据</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3,905,807,079.86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10,520,294,738.06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246,427,285.60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341,249,361.93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199,107,427.67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271,807,643.61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2,852,916,001.40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0.0708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0.0708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40,730,203,200.45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40,362,468,434.35</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13,799,729,355.35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13,607,442,805.32</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w:t>
            </w:r>
          </w:p>
        </w:tc>
      </w:tr>
    </w:tbl>
    <w:p>
      <w:pPr>
        <w:spacing w:before="100" w:after="100" w:line="0" w:lineRule="exact"/>
        <w:jc w:val="left"/>
        <w:rPr>
          <w:rFonts w:hint="default" w:ascii="Times New Roman" w:hAnsi="Times New Roman" w:cs="Times New Roman"/>
        </w:rPr>
      </w:pPr>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 非经常性损益项目和金额</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年初至报告期期末金额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非流动性资产处置损益（包括已计提资产减值准备的冲销部分）</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48,211,054.87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61,693,902.05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计入当期损益的政府补助（与公司正常经营业务密切相关、符合国家政策规定、按照确定的标准享有、对公司损益产生持续影响的政府补助除外）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4,630,335.06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11,246,302.08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单独进行减值测试的应收款项减值准备转回</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除上述各项之外的其他营业外收入和支出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-2,025,914.07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2,243,953.18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减：所得税影响额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8,199,183.18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10,423,954.67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少数股东权益影响额（税后）</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13,415.88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35,465.45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47,319,857.93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69,441,718.32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其他符合非经常性损益定义的损益项目的具体情况：</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公司不存在其他符合非经常性损益定义的损益项目的具体情况。</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将《公开发行证券的公司信息披露解释性公告第1号——非经常性损益》中列举的非经常性损益项目界定为经常性损益项目的情况说明
</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公司不存在将《公开发行证券的公司信息披露解释性公告第1号——非经常性损益》中列举的非经常性损益项目界定为经常性损益的项目的情形。</w:t>
      </w:r>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 主要会计数据和财务指标发生变动的情况及原因</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pPr>
        <w:pStyle w:val="7"/>
        <w:keepNext w:val="0"/>
        <w:keepLines w:val="0"/>
        <w:widowControl/>
        <w:suppressLineNumbers w:val="0"/>
        <w:spacing w:line="360" w:lineRule="exact"/>
        <w:ind w:left="0" w:firstLine="422"/>
        <w:jc w:val="both"/>
        <w:rPr>
          <w:rFonts w:hint="default" w:ascii="Times New Roman" w:hAnsi="Times New Roman" w:cs="Times New Roman"/>
          <w:sz w:val="24"/>
          <w:szCs w:val="24"/>
        </w:rPr>
      </w:pPr>
      <w:r>
        <w:rPr>
          <w:rFonts w:hint="default" w:ascii="Times New Roman" w:hAnsi="Times New Roman" w:eastAsia="宋体" w:cs="Times New Roman"/>
          <w:b/>
          <w:bCs/>
          <w:color w:val="000000"/>
          <w:sz w:val="21"/>
          <w:szCs w:val="21"/>
        </w:rPr>
        <w:t> 1.资产</w:t>
      </w:r>
      <w:r>
        <w:rPr>
          <w:rStyle w:val="10"/>
          <w:rFonts w:hint="default" w:ascii="Times New Roman" w:hAnsi="Times New Roman" w:eastAsia="宋体" w:cs="Times New Roman"/>
          <w:b/>
          <w:bCs/>
          <w:color w:val="000000"/>
          <w:sz w:val="21"/>
          <w:szCs w:val="21"/>
        </w:rPr>
        <w:t>负债表项目 </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（1）货币资金期末数为320,034,132.50元，比期初数增加38.87%，其主要原因系报告期期末公司预留部分资金拟偿还到期银行借款所致；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（2）应收账款期末数为1,594,749,108.81元，比期初数减少30.55%，其主要原因系报告期期末公司应收电费减少所致；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（3）存货期末数为642,747,655.29元，比期初数减少32.58%，其主要原因系报告期内公司结合生产需要及燃煤市场价格走势调整存货策略所致；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（4）在建工程期末数为6,190,736,923.45元，比期初数增加58.41%，其主要原因系报告期公司所属汉川四期2×100万千瓦扩建项目、新能源建设项目等投入增加所致；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（5）其他非流动资产期末数为146,586,754.88元，比期初数减少89.23%，其主要原因系报告期内公司期初预付工程、设备款转入在建工程所致；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（6）应付票据期末数为420,115,030.98元，比期初数增加42.86%，其主要原因系报告期内公司开具应付票据结算煤款增加所致；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（7）预收款项期末数为7,355,221.93元，比期初数减少40.17%，其主要原因系报告期公司结算预收款项所致；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（8）合同负债期末数为80,333,212.32元，比期初数增加70.88%，其主要原因系报告期内预收热力及固废排放物销售款增加所致；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（9）其他流动负债期末数为7,721,505.84元，比期初数增加74.22%，其主要原因系报告期内公司预收热费余额增加导致相关税费增加所致；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（10）递延所得税负债期末数为26,011,125.33元，比期初数增加58.33%，其主要原因系报告期内公司所属单位处置已计提减值固定资产转回递延所得税资产所致；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（11）专项储备期末数为207,278,973.52元，比期初数增加96.27%，其主要原因系报告期内公司根据政策计提安全生产费增加所致。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b/>
          <w:bCs/>
          <w:color w:val="000000"/>
          <w:sz w:val="21"/>
          <w:szCs w:val="21"/>
        </w:rPr>
        <w:t>2. 利润表项目</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（1）税金及附加2025年1-9月发生数为102,035,827.89元，比上期数增加38.53%，其主要原因系报告期内水资源税调整至税金及附加核算及上年同期因增值税留抵附加税较少等原因所致；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（2）研发费用2025年1-9月发生数为21,115,064.29元，比上年同期数增长130.38%，其主要原因系报告期内公司开展部分研发活动增加所致；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（3）其他收益2025年1-9月发生数为15,233,017.03元，比上年同期数增长38.39%，其主要原因系报告期内公司收到政府补助及奖励资金等增加所致；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（4）投资收益2025年1-9月发生数为16,428,340.84元，比上年同期数减少33.37%，其主要原因系报告期内公司参股企业净利润同比减少所致；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（5）信用减值损失2025年1-9月发生数为-66,102.45元，比上年同期数减少99.59%，其主要原因系报告期内公司收回应收款项相应转回坏账准备所致；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（6）资产处置收益2025年1-9月发生数为61,693,902.05元，比上年同期数增加3661.24%，其主要原因系报告期内公司子公司资产处置收益增加所致；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（7）营业利润2025年1-9月发生数为520,679,058.83元，比上年同期数减少56.81%，其主要原因系报告期内公司售电均价及发电量同比下降所致；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（8）营业外支出2025年1-9月发生数为5,747,137.44元，比上年同期数增加661.46%，其主要原因系报告期内公司滞纳金等支出同比增加所致；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（9）利润总额2025年1-9月发生数为522,933,012.01元，比上年同期数减少56.93%，其主要原因系报告期内公司售电均价及发电量同比下降所致；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（10）所得税费用2025年1-9月发生数为185,772,444.15元，比上年同期数减少35.22%，其主要原因系报告期内公司所属单位应纳税所得额同比下降所致；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（11）净利润2025年1-9月发生数为337,160,567.86元，比上年同期数减少63.64%，其主要原因系报告期内公司售电均价及发电量同比下降所致；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（12）归属于母公司所有者的净利润2025年1-9月发生数为341,249,361.93元，比上年同期数减少62.43%，其主要原因系报告期内公司净利润减少所致；</w:t>
      </w:r>
    </w:p>
    <w:p>
      <w:pPr>
        <w:pStyle w:val="7"/>
        <w:keepNext w:val="0"/>
        <w:keepLines w:val="0"/>
        <w:widowControl/>
        <w:suppressLineNumbers w:val="0"/>
        <w:spacing w:line="360" w:lineRule="exact"/>
        <w:ind w:left="0" w:firstLine="482"/>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color w:val="000000"/>
          <w:sz w:val="21"/>
          <w:szCs w:val="21"/>
        </w:rPr>
        <w:t>（13）少数股东损益2025年1-9月发生数为-4,088,794.07元，比上年同期数减少121.38%，其主要原因系报告期内公司非全资子公司净利润同比减少所致</w:t>
      </w:r>
      <w:r>
        <w:rPr>
          <w:rFonts w:hint="eastAsia" w:cs="Times New Roman"/>
          <w:color w:val="000000"/>
          <w:sz w:val="21"/>
          <w:szCs w:val="21"/>
          <w:lang w:eastAsia="zh-CN"/>
        </w:rPr>
        <w:t>；</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（14）基本每股收益2025年1-9月发生数为0.0980元，比上年同期数减少70.32%，其主要原因系报告期内公司归属于母公司所有者的净利润减少及股本同比增加所致。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b/>
          <w:bCs/>
          <w:color w:val="000000"/>
          <w:sz w:val="21"/>
          <w:szCs w:val="21"/>
        </w:rPr>
        <w:t>3. 现金流量表项目</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（1）收到的税费返还2025年1-9月发生数为40,184,675.45元，比上年同期数减少90.15%，主要原因系报告期内公司收到增值税留抵退税款减少所致；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（2）收到其他与经营活动有关的现金2025年1-9月发生数为221,092,703.25元，比上年同期数增加97.69%，主要原因系报告期内公司收到单位间往来款项增加所致；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（3）取得投资收益收到的现金2025年1-9月发生数为11,895,435.88元，比上年同期数减少52.87%，主要原因系报告期内公司收到参股单位分红同比减少所致；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（4）处置固定资产、无形资产和其他长期资产收回的现金净额2025年1-9月发生数为468,357,979.98元，比上年同期数增加3774.08%，主要原因系报告期内公司处置固定资产</w:t>
      </w:r>
      <w:r>
        <w:rPr>
          <w:rFonts w:hint="eastAsia" w:cs="Times New Roman"/>
          <w:color w:val="000000"/>
          <w:sz w:val="21"/>
          <w:szCs w:val="21"/>
          <w:highlight w:val="none"/>
          <w:lang w:eastAsia="zh-CN"/>
        </w:rPr>
        <w:t>等其他长期资产</w:t>
      </w:r>
      <w:r>
        <w:rPr>
          <w:rFonts w:hint="default" w:ascii="Times New Roman" w:hAnsi="Times New Roman" w:eastAsia="宋体" w:cs="Times New Roman"/>
          <w:color w:val="000000"/>
          <w:sz w:val="21"/>
          <w:szCs w:val="21"/>
        </w:rPr>
        <w:t>收到现金同比增加所致；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（5）投资活动现金流入小计2025年1-9月发生数为480,253,415.86元，比上年同期数增加361.59%，主要原因系报告期内公司处置固定资产、无形资产和其他长期资产收回的现金净额同比增加所致；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（6）投资活动产生的现金流量净额2025年1-9月发生数为-2,316,775,796.41元，比上年同期数增加34.37%，主要原因系报告期内公司购建固定资产、无形资产和其他长期资产支付的现金同比减少所致；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（7）支付其他与筹资活动有关的现金2025年1-9月发生数为17,133,555.54元，比上年同期数减少30.42%，主要原因系报告期公司支付的光伏土地租赁款同比减少所致；</w:t>
      </w:r>
    </w:p>
    <w:p>
      <w:pPr>
        <w:pStyle w:val="7"/>
        <w:keepNext w:val="0"/>
        <w:keepLines w:val="0"/>
        <w:widowControl/>
        <w:suppressLineNumbers w:val="0"/>
        <w:spacing w:line="360" w:lineRule="exact"/>
        <w:ind w:left="0" w:firstLine="482"/>
        <w:jc w:val="both"/>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（8）筹资活动产生的现金流量净额2025年1-9月发生数为-446,561,475.23元，比上年同期数减少738.26%，主要原因系报告期内公司取得借款及偿还债务的净额同比减少等原因所致；</w:t>
      </w:r>
    </w:p>
    <w:p>
      <w:pPr>
        <w:pStyle w:val="7"/>
        <w:keepNext w:val="0"/>
        <w:keepLines w:val="0"/>
        <w:widowControl/>
        <w:spacing w:line="360" w:lineRule="auto"/>
        <w:ind w:firstLine="482"/>
        <w:jc w:val="both"/>
        <w:rPr>
          <w:rFonts w:hint="default" w:ascii="Times New Roman" w:hAnsi="Times New Roman" w:cs="Times New Roman"/>
          <w:color w:val="000000"/>
          <w:sz w:val="21"/>
          <w:szCs w:val="21"/>
          <w:lang w:eastAsia="zh-CN"/>
        </w:rPr>
      </w:pPr>
      <w:r>
        <w:rPr>
          <w:rFonts w:hint="default" w:ascii="Times New Roman" w:hAnsi="Times New Roman" w:eastAsia="宋体" w:cs="Times New Roman"/>
          <w:color w:val="000000"/>
          <w:sz w:val="21"/>
          <w:szCs w:val="21"/>
        </w:rPr>
        <w:t>（9）现金及现金等价物净增加额2025年1-9月发生数为89,578,729.76元，比上年同期数增加246,329,905.3元，主要原因系报告期内公司投资活动产生的现金流量净额同比增加等原因所致</w:t>
      </w:r>
      <w:r>
        <w:rPr>
          <w:rFonts w:hint="default" w:ascii="Times New Roman" w:hAnsi="Times New Roman" w:cs="Times New Roman"/>
          <w:color w:val="000000"/>
          <w:sz w:val="21"/>
          <w:szCs w:val="21"/>
          <w:lang w:eastAsia="zh-CN"/>
        </w:rPr>
        <w:t>。</w:t>
      </w:r>
      <w:bookmarkEnd w:id="1"/>
      <w:bookmarkStart w:id="2" w:name="_Toc988893"/>
    </w:p>
    <w:p>
      <w:pPr>
        <w:pStyle w:val="7"/>
        <w:keepNext w:val="0"/>
        <w:keepLines w:val="0"/>
        <w:widowControl/>
        <w:spacing w:line="360" w:lineRule="auto"/>
        <w:ind w:firstLine="482"/>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二、股东信息</w:t>
      </w:r>
      <w:bookmarkEnd w:id="2"/>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3" w:name="_Toc988894"/>
      <w:r>
        <w:rPr>
          <w:rFonts w:hint="default" w:ascii="Times New Roman" w:hAnsi="Times New Roman" w:eastAsia="宋体" w:cs="Times New Roman"/>
          <w:b/>
          <w:bCs/>
          <w:sz w:val="21"/>
          <w:szCs w:val="21"/>
        </w:rPr>
        <w:t>（一） 普通股股东总数和表决权恢复的优先股股东数量及前十名股东持股情况表</w:t>
      </w:r>
      <w:bookmarkEnd w:id="3"/>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单位：股</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8"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106,198</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2,075,329,926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219,512,196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中国能源建设集团有限公司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103,334,719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湖北省铁路发展基金有限责任公司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73,170,731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5"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25,292,921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瑞众人寿保险有限责任公司－自有资金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24,390,243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国调创新（北京）私募基金管理有限公司－国调创新私募股权投资基金（南昌）合伙企业（有限合伙）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18,107,795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深圳市达晨财智创业投资管理有限公司－江西赣江新区财投晨源股权投资中心（有限合伙）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11,583,170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诺德基金－中兵资产丹雀1号私募证券投资基金－诺德基金浦江1075号单一资产管理计划</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诺德基金－南昌市国金产业投资有限公司－诺德基金浦江1269号单一资产管理计划</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股份种类及数量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413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185,581,773,000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185,581,773,000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中国能源建设集团有限公司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103,334,719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103,334,719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湖北省铁路发展基金有限责任公司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73,170,731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73,170,731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25,292,921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25,292,921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瑞众人寿保险有限责任公司－自有资金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24,390,243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24,390,243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国调创新（北京）私募基金管理有限公司－国调创新私募股权投资基金（南昌）合伙企业（有限合伙）</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18,107,795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18,107,795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深圳市达晨财智创业投资管理有限公司－江西赣江新区财投晨源股权投资中心（有限合伙）</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11,583,170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11,583,170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诺德基金－中兵资产丹雀1号私募证券投资基金－诺德基金浦江1075号单一资产管理计划</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诺德基金－南昌市国金产业投资有限公司－诺德基金浦江1269号单一资产管理计划</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国家能源投资集团有限责任公司是湖北能源集团股份有限公司的股东，持股比例为3.26%。除此之外，上述股东之间未知是否存在其它关联关系或属于《上市公司收购管理办法》规定的一致行动人。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3"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股东王梓煜，通过国泰海通证券股份有限公司客户信用交易担保证券账户持有本公司股票25,292,921股。</w:t>
            </w:r>
          </w:p>
        </w:tc>
      </w:tr>
    </w:tbl>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持股5%以上股东、前10名股东及前10名无限售流通股股东参与转融通业务出借股份情况</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前10名股东及前10名无限售流通股股东因转融通出借/归还原因导致较上期发生变化</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4" w:name="_Toc988895"/>
      <w:r>
        <w:rPr>
          <w:rFonts w:hint="default" w:ascii="Times New Roman" w:hAnsi="Times New Roman" w:eastAsia="宋体" w:cs="Times New Roman"/>
          <w:b/>
          <w:bCs/>
          <w:sz w:val="21"/>
          <w:szCs w:val="21"/>
        </w:rPr>
        <w:t>（二） 公司优先股股东总数及前10名优先股股东持股情况表</w:t>
      </w:r>
      <w:bookmarkEnd w:id="4"/>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pStyle w:val="12"/>
        <w:keepNext/>
        <w:keepLines/>
        <w:spacing w:before="300" w:after="300" w:line="320" w:lineRule="exact"/>
        <w:jc w:val="left"/>
        <w:outlineLvl w:val="0"/>
        <w:rPr>
          <w:rFonts w:hint="default" w:ascii="Times New Roman" w:hAnsi="Times New Roman" w:eastAsia="宋体" w:cs="Times New Roman"/>
          <w:b/>
          <w:bCs/>
          <w:sz w:val="24"/>
          <w:szCs w:val="24"/>
        </w:rPr>
      </w:pPr>
      <w:bookmarkStart w:id="5" w:name="_Toc988896"/>
      <w:r>
        <w:rPr>
          <w:rFonts w:hint="default" w:ascii="Times New Roman" w:hAnsi="Times New Roman" w:eastAsia="宋体" w:cs="Times New Roman"/>
          <w:b/>
          <w:bCs/>
          <w:sz w:val="24"/>
          <w:szCs w:val="24"/>
        </w:rPr>
        <w:t>三、其他重要事项</w:t>
      </w:r>
      <w:bookmarkEnd w:id="5"/>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pPr>
        <w:pStyle w:val="7"/>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 报告期内，公司系统安全生产局面稳定，累计完成发电量106.17亿千瓦时，上网电量102.71亿千瓦时，较去年同期分别降低8.15%、9.40%。</w:t>
      </w:r>
    </w:p>
    <w:p>
      <w:pPr>
        <w:pStyle w:val="7"/>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2. 报告期内，公司未发生对外担保事项。截至本报告期末，公司对外担保余额为0。</w:t>
      </w:r>
    </w:p>
    <w:p>
      <w:pPr>
        <w:pStyle w:val="7"/>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3. 报告期内，经公司第十届董事会第三十三次会议及2025年第二次临时股东大会审议通过，公司对注册资本进行了变更并对《国家能源集团长源电力股份有限公司章程》进行了修订，公司注册资本由人民币2,749,327,699元变更为人民币3,481,035,016元（具体内容详见公司于</w:t>
      </w:r>
      <w:r>
        <w:rPr>
          <w:rFonts w:hint="default" w:ascii="Times New Roman" w:hAnsi="Times New Roman" w:eastAsia="宋体" w:cs="Times New Roman"/>
          <w:caps w:val="0"/>
          <w:spacing w:val="0"/>
          <w:sz w:val="24"/>
          <w:szCs w:val="24"/>
        </w:rPr>
        <w:t>2025年7月17日、8月21日</w:t>
      </w:r>
      <w:r>
        <w:rPr>
          <w:rFonts w:hint="default" w:ascii="Times New Roman" w:hAnsi="Times New Roman" w:eastAsia="宋体" w:cs="Times New Roman"/>
          <w:sz w:val="24"/>
          <w:szCs w:val="24"/>
        </w:rPr>
        <w:t>在《中国证券报》《证券时报》和巨潮资讯网上披露的有关公告，公告编号：</w:t>
      </w:r>
      <w:r>
        <w:rPr>
          <w:rFonts w:hint="default" w:ascii="Times New Roman" w:hAnsi="Times New Roman" w:eastAsia="宋体" w:cs="Times New Roman"/>
          <w:caps w:val="0"/>
          <w:spacing w:val="0"/>
          <w:sz w:val="24"/>
          <w:szCs w:val="24"/>
        </w:rPr>
        <w:t>2025-050、051、056</w:t>
      </w:r>
      <w:r>
        <w:rPr>
          <w:rFonts w:hint="default" w:ascii="Times New Roman" w:hAnsi="Times New Roman" w:eastAsia="宋体" w:cs="Times New Roman"/>
          <w:sz w:val="24"/>
          <w:szCs w:val="24"/>
        </w:rPr>
        <w:t>）。</w:t>
      </w:r>
    </w:p>
    <w:p>
      <w:pPr>
        <w:pStyle w:val="7"/>
        <w:keepNext w:val="0"/>
        <w:keepLines w:val="0"/>
        <w:widowControl/>
        <w:suppressLineNumbers w:val="0"/>
        <w:spacing w:before="0" w:beforeAutospacing="0" w:after="0" w:afterAutospacing="0" w:line="360" w:lineRule="atLeast"/>
        <w:ind w:left="0" w:right="0" w:firstLine="480"/>
        <w:jc w:val="left"/>
        <w:rPr>
          <w:rFonts w:hint="default" w:ascii="Times New Roman" w:hAnsi="Times New Roman" w:cs="Times New Roman"/>
          <w:sz w:val="21"/>
          <w:szCs w:val="21"/>
        </w:rPr>
      </w:pPr>
      <w:r>
        <w:rPr>
          <w:rFonts w:hint="default" w:ascii="Times New Roman" w:hAnsi="Times New Roman" w:eastAsia="宋体" w:cs="Times New Roman"/>
          <w:sz w:val="24"/>
          <w:szCs w:val="24"/>
        </w:rPr>
        <w:t>4. 报告期内，经公司2025年第三次独立董事专门会议及第十届董事会第三十三次会议审议通过，同意公司全资子公司国能长源汉川发电有限公司（以下简称汉川公司）与公司关联方国能龙源环保有限公司汉川分公司（以下简称汉川龙源环保）签订烟气脱硫脱硝特许经营合同，将汉川四期2×100万千瓦燃煤机组扩建项目脱硫脱硝新建工程交由汉川龙源环保投资、建设、运行、维护及管理，</w:t>
      </w:r>
      <w:r>
        <w:rPr>
          <w:rFonts w:hint="default" w:ascii="Times New Roman" w:hAnsi="Times New Roman" w:eastAsia="宋体" w:cs="Times New Roman"/>
          <w:caps w:val="0"/>
          <w:spacing w:val="0"/>
          <w:sz w:val="24"/>
          <w:szCs w:val="24"/>
        </w:rPr>
        <w:t>预计双方每年合计关联交易金额约24,048万元（</w:t>
      </w:r>
      <w:r>
        <w:rPr>
          <w:rFonts w:hint="default" w:ascii="Times New Roman" w:hAnsi="Times New Roman" w:eastAsia="宋体" w:cs="Times New Roman"/>
          <w:sz w:val="24"/>
          <w:szCs w:val="24"/>
        </w:rPr>
        <w:t>具体内容详见公司于</w:t>
      </w:r>
      <w:r>
        <w:rPr>
          <w:rFonts w:hint="default" w:ascii="Times New Roman" w:hAnsi="Times New Roman" w:eastAsia="宋体" w:cs="Times New Roman"/>
          <w:caps w:val="0"/>
          <w:spacing w:val="0"/>
          <w:sz w:val="24"/>
          <w:szCs w:val="24"/>
        </w:rPr>
        <w:t>2025年7月17日</w:t>
      </w:r>
      <w:r>
        <w:rPr>
          <w:rFonts w:hint="default" w:ascii="Times New Roman" w:hAnsi="Times New Roman" w:eastAsia="宋体" w:cs="Times New Roman"/>
          <w:sz w:val="24"/>
          <w:szCs w:val="24"/>
        </w:rPr>
        <w:t>在《中国证券报》《证券时报》和巨潮资讯网上披露的《关于全资子公司拟签订脱硫脱硝特许经营合同暨关联交易的公告》，公告编号：</w:t>
      </w:r>
      <w:r>
        <w:rPr>
          <w:rFonts w:hint="default" w:ascii="Times New Roman" w:hAnsi="Times New Roman" w:eastAsia="宋体" w:cs="Times New Roman"/>
          <w:caps w:val="0"/>
          <w:spacing w:val="0"/>
          <w:sz w:val="24"/>
          <w:szCs w:val="24"/>
        </w:rPr>
        <w:t>2025-052）。报告期内，汉川公司与</w:t>
      </w:r>
      <w:r>
        <w:rPr>
          <w:rFonts w:hint="default" w:ascii="Times New Roman" w:hAnsi="Times New Roman" w:eastAsia="宋体" w:cs="Times New Roman"/>
          <w:sz w:val="24"/>
          <w:szCs w:val="24"/>
        </w:rPr>
        <w:t>汉川龙源环保</w:t>
      </w:r>
      <w:r>
        <w:rPr>
          <w:rFonts w:hint="default" w:ascii="Times New Roman" w:hAnsi="Times New Roman" w:eastAsia="宋体" w:cs="Times New Roman"/>
          <w:caps w:val="0"/>
          <w:spacing w:val="0"/>
          <w:sz w:val="24"/>
          <w:szCs w:val="24"/>
        </w:rPr>
        <w:t>签署了《国能长源汉川发电有限公司四期2×1000MW机组烟气脱硫特许经营合同》及《国能长源汉川发电有限公司四期2×1000MW机组烟气脱硝特许经营合同》（具体内容详见公司于2025年8月23日在《中国证券报》《证券时报》和巨潮资讯网上披露的《关于全资子公司签订脱硫脱硝特许经营合同暨关联交易的进展公告》，公告编号：2025-062）。</w:t>
      </w:r>
    </w:p>
    <w:p>
      <w:pPr>
        <w:pStyle w:val="7"/>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5. 报告期内，经公司第十届董事会第三十五次会议审议通过，公司调整了国能长源谷城县冷集镇230MW农光互补光伏发电项目的最终投产容量及总投资金额，项目最终装机容量由23万千瓦调整为17.1万千瓦，项目总投资金额由110,243万元调整为74,520万元（具体内容详见公司2025年8月23日在《中国证券报》《证券时报》和巨潮资讯网上披露的《关于国能长源谷城县冷集镇230MW农光互补光伏发电项目进展情况的公告》，公告编号：2025-060）。</w:t>
      </w:r>
    </w:p>
    <w:p>
      <w:pPr>
        <w:pStyle w:val="7"/>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6. 报告期内，经公司第十届董事会第三十五次会议审议通过，公司调整了</w:t>
      </w:r>
      <w:r>
        <w:rPr>
          <w:rFonts w:hint="default" w:ascii="Times New Roman" w:hAnsi="Times New Roman" w:eastAsia="宋体" w:cs="Times New Roman"/>
          <w:color w:val="000000"/>
          <w:sz w:val="24"/>
          <w:szCs w:val="24"/>
        </w:rPr>
        <w:t>国能长源潜江浩口200MW渔光互补光伏发电项目</w:t>
      </w:r>
      <w:r>
        <w:rPr>
          <w:rFonts w:hint="default" w:ascii="Times New Roman" w:hAnsi="Times New Roman" w:eastAsia="宋体" w:cs="Times New Roman"/>
          <w:sz w:val="24"/>
          <w:szCs w:val="24"/>
        </w:rPr>
        <w:t>的最终投产容量及总投资金额，项目最终装机容量由20万千瓦调整为17万千瓦，项目总投资金额由105,165万元调整为71,433万元（具体内容详见公司2025年8月23日在《中国证券报》《证券时报》和巨潮资讯网上披露的《关于国能长源潜江浩口200MW渔光互补光伏发电项目进展情况的公告》，公告编号：2025-061）。</w:t>
      </w:r>
    </w:p>
    <w:p>
      <w:pPr>
        <w:pStyle w:val="12"/>
        <w:keepNext/>
        <w:keepLines/>
        <w:spacing w:before="300" w:after="300" w:line="320" w:lineRule="exact"/>
        <w:jc w:val="left"/>
        <w:outlineLvl w:val="0"/>
        <w:rPr>
          <w:rFonts w:hint="default" w:ascii="Times New Roman" w:hAnsi="Times New Roman" w:eastAsia="宋体" w:cs="Times New Roman"/>
          <w:b/>
          <w:bCs/>
          <w:sz w:val="24"/>
          <w:szCs w:val="24"/>
        </w:rPr>
      </w:pPr>
      <w:bookmarkStart w:id="6" w:name="_Toc988897"/>
    </w:p>
    <w:p>
      <w:pPr>
        <w:pStyle w:val="12"/>
        <w:keepNext/>
        <w:keepLines/>
        <w:spacing w:before="300" w:after="300" w:line="320" w:lineRule="exact"/>
        <w:jc w:val="left"/>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四、季度财务报表</w:t>
      </w:r>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 财务报表</w:t>
      </w:r>
    </w:p>
    <w:p>
      <w:pPr>
        <w:pStyle w:val="3"/>
        <w:keepNext/>
        <w:keepLines/>
        <w:spacing w:before="300" w:after="300" w:line="280" w:lineRule="exact"/>
        <w:jc w:val="left"/>
        <w:outlineLvl w:val="2"/>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1、合并资产负债表</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编制单位：国家能源集团长源电力股份有限公司</w:t>
      </w:r>
    </w:p>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2025年09月30日</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320,034,132.50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230,454,402.74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17,842,823.37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24,609,859.88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1,594,749,108.81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2,296,333,914.79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510,278,626.22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465,169,850.02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14,228,234.69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16,674,148.80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642,747,655.29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953,381,654.15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987,512,604.11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775,140,549.84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4,087,393,184.99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4,761,764,380.22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307,940,805.96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303,407,901.00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47,434,417.62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124,034,626.34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128,422,232.66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27,406,846,770.38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27,369,245,057.35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6,190,736,923.45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3,908,071,475.49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646,406,134.55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672,420,637.46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796,367,691.43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818,504,054.87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53,904,348.99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57,682,359.34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84,026,591.23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96,050,864.65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146,586,754.88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1,360,940,103.06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36,642,810,015.46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35,600,704,054.13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40,730,203,200.45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40,362,468,434.35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4,665,970,459.43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4,230,984,364.79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420,115,030.98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294,067,786.65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2,074,769,963.04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2,204,215,636.97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7,355,221.93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12,294,033.08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80,333,212.32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47,011,110.83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104,597,423.12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110,893,678.75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207,283,746.28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273,993,997.20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691,277,654.64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672,888,144.66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2,479,816,810.98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2,025,632,683.76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7,721,505.84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4,432,025.33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10,739,241,028.56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9,876,413,462.02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15,019,049,764.53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15,734,134,094.10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583,167,079.05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570,860,301.55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7,911,768.42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210,327,761.67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193,240,838.73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26,011,125.33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16,428,516.49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15,846,467,499.00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16,522,575,519.29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26,585,708,527.56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26,398,988,981.31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3,481,035,016.00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3,481,035,016.00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5,505,267,194.24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5,505,267,194.24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-25,069,324.06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-25,069,324.06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207,278,973.52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105,607,269.62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255,191,544.01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255,191,544.01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4,376,025,951.64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4,285,411,105.51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13,799,729,355.35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13,607,442,805.32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344,765,317.54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356,036,647.72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14,144,494,672.89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13,963,479,453.04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40,730,203,200.45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40,362,468,434.35</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法定代表人：王冬    主管会计工作负责人：朱虹      会计机构负责人：夏正茂</w:t>
      </w:r>
    </w:p>
    <w:p>
      <w:pPr>
        <w:pStyle w:val="3"/>
        <w:keepNext/>
        <w:keepLines/>
        <w:spacing w:before="300" w:after="300" w:line="280" w:lineRule="exact"/>
        <w:jc w:val="left"/>
        <w:outlineLvl w:val="2"/>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2、合并年初到报告期末利润表</w:t>
      </w:r>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10,520,294,738.06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12,931,359,330.18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10,520,294,738.06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12,931,359,330.18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10,092,904,836.70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11,747,767,663.53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9,560,179,736.49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11,179,238,781.26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102,035,827.89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73,657,662.91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84,368,995.79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89,351,549.05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21,115,064.29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9,165,266.02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325,205,212.24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396,354,404.29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323,342,502.06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394,718,065.29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1,141,783.88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1,191,241.01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15,233,017.03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11,007,670.20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16,428,340.84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24,656,894.99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16,251,225.53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24,656,894.99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-66,102.45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-16,141,841.49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720,557.79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61,693,902.05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1,640,252.43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520,679,058.83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1,205,475,200.57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8,001,090.62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9,409,175.00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5,747,137.44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754,750.00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522,933,012.01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1,214,129,625.57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185,772,444.15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286,782,982.70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337,160,567.86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927,346,642.87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337,160,567.86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927,346,642.87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341,249,361.93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908,218,649.96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-4,088,794.07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19,127,992.91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337,160,567.86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927,346,642.87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341,249,361.93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908,218,649.96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-4,088,794.07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19,127,992.91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0.3303</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本期发生同一控制下企业合并的，被合并方在合并前实现的净利润为：元，上期被合并方实现的净利润为：元。</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法定代表人：王冬    主管会计工作负责人：朱虹    会计机构负责人：夏正茂</w:t>
      </w:r>
    </w:p>
    <w:p>
      <w:pPr>
        <w:pStyle w:val="3"/>
        <w:keepNext/>
        <w:keepLines/>
        <w:spacing w:before="300" w:after="300" w:line="280" w:lineRule="exact"/>
        <w:jc w:val="left"/>
        <w:outlineLvl w:val="2"/>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3、合并年初到报告期末现金流量表</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12,805,325,764.52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14,170,056,522.43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40,184,675.45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408,085,781.18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221,092,703.25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111,838,561.18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13,066,603,143.22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14,689,980,864.79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8,250,795,009.27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9,470,396,404.21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1,079,869,775.12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1,074,712,246.46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631,919,745.76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513,564,740.82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251,102,611.67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204,804,085.98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10,213,687,141.82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11,263,477,477.47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2,852,916,001.40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3,426,503,387.32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11,895,435.88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25,239,110.71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468,357,979.98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12,089,524.62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66,715,000.00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480,253,415.86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104,043,635.33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2,797,029,212.27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3,632,270,106.05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1,755,462.42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2,797,029,212.27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3,634,025,568.47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-2,316,775,796.41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-3,529,981,933.14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12,934,076,212.37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14,505,431,065.11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2,752,473.65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1,057,007.69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12,936,828,686.02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14,506,711,527.80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12,754,771,940.75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13,987,048,138.55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611,484,664.96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548,312,903.75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17,133,555.54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24,623,115.25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13,383,390,161.25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14,559,984,157.55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-446,561,475.23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-53,272,629.75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89,578,729.76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-156,751,175.57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229,684,174.16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319,262,903.92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450,264,963.94</w:t>
            </w:r>
          </w:p>
        </w:tc>
      </w:tr>
    </w:tbl>
    <w:p>
      <w:pPr>
        <w:pStyle w:val="2"/>
        <w:keepNext/>
        <w:keepLines/>
        <w:spacing w:before="300" w:after="300" w:line="280" w:lineRule="exact"/>
        <w:jc w:val="left"/>
        <w:outlineLvl w:val="1"/>
        <w:rPr>
          <w:rFonts w:hint="default" w:ascii="Times New Roman" w:hAnsi="Times New Roman" w:eastAsia="宋体" w:cs="Times New Roman"/>
          <w:b/>
          <w:bCs/>
          <w:sz w:val="25"/>
          <w:szCs w:val="25"/>
        </w:rPr>
      </w:pPr>
      <w:r>
        <w:rPr>
          <w:rFonts w:hint="default" w:ascii="Times New Roman" w:hAnsi="Times New Roman" w:eastAsia="宋体" w:cs="Times New Roman"/>
          <w:b/>
          <w:bCs/>
          <w:sz w:val="25"/>
          <w:szCs w:val="25"/>
        </w:rPr>
        <w:t>（二） 2025年起首次执行新会计准则调整首次执行当年年初财务报表相关项目情况</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pStyle w:val="2"/>
        <w:keepNext/>
        <w:keepLines/>
        <w:spacing w:before="300" w:after="300" w:line="280" w:lineRule="exact"/>
        <w:jc w:val="left"/>
        <w:outlineLvl w:val="1"/>
        <w:rPr>
          <w:rFonts w:hint="default" w:ascii="Times New Roman" w:hAnsi="Times New Roman" w:eastAsia="宋体" w:cs="Times New Roman"/>
          <w:b/>
          <w:bCs/>
          <w:sz w:val="25"/>
          <w:szCs w:val="25"/>
        </w:rPr>
      </w:pPr>
      <w:r>
        <w:rPr>
          <w:rFonts w:hint="default" w:ascii="Times New Roman" w:hAnsi="Times New Roman" w:eastAsia="宋体" w:cs="Times New Roman"/>
          <w:b/>
          <w:bCs/>
          <w:sz w:val="25"/>
          <w:szCs w:val="25"/>
        </w:rPr>
        <w:t>（三） 审计报告</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第三季度财务会计报告是否经过审计</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18"/>
          <w:szCs w:val="18"/>
        </w:rPr>
        <w:t>公司第三季度财务会计报告未经</w:t>
      </w:r>
      <w:r>
        <w:rPr>
          <w:rFonts w:hint="default" w:ascii="Times New Roman" w:hAnsi="Times New Roman" w:cs="Times New Roman"/>
          <w:sz w:val="18"/>
          <w:szCs w:val="18"/>
          <w:lang w:val="en-US" w:eastAsia="zh-CN"/>
        </w:rPr>
        <w:t>审计。</w:t>
      </w:r>
      <w:bookmarkEnd w:id="6"/>
    </w:p>
    <w:p>
      <w:pPr>
        <w:spacing w:before="40" w:after="40" w:line="240" w:lineRule="exact"/>
        <w:jc w:val="right"/>
        <w:rPr>
          <w:rFonts w:hint="default" w:ascii="Times New Roman" w:hAnsi="Times New Roman" w:eastAsia="宋体" w:cs="Times New Roman"/>
          <w:sz w:val="21"/>
          <w:szCs w:val="21"/>
        </w:rPr>
      </w:pPr>
    </w:p>
    <w:p>
      <w:pPr>
        <w:spacing w:before="40" w:after="4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国家能源集团长源电力股份有限公司董事会</w:t>
      </w:r>
    </w:p>
    <w:p>
      <w:pPr>
        <w:spacing w:before="0" w:after="0" w:line="240" w:lineRule="exact"/>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2025年10月</w:t>
      </w:r>
      <w:r>
        <w:rPr>
          <w:rFonts w:hint="default" w:ascii="Times New Roman" w:hAnsi="Times New Roman" w:cs="Times New Roman"/>
          <w:sz w:val="21"/>
          <w:szCs w:val="21"/>
          <w:lang w:val="en-US" w:eastAsia="zh-CN"/>
        </w:rPr>
        <w:t>3</w:t>
      </w:r>
      <w:r>
        <w:rPr>
          <w:rFonts w:hint="eastAsia" w:cs="Times New Roman"/>
          <w:sz w:val="21"/>
          <w:szCs w:val="21"/>
          <w:lang w:val="en-US" w:eastAsia="zh-CN"/>
        </w:rPr>
        <w:t>1</w:t>
      </w:r>
      <w:r>
        <w:rPr>
          <w:rFonts w:hint="default" w:ascii="Times New Roman" w:hAnsi="Times New Roman" w:eastAsia="宋体" w:cs="Times New Roman"/>
          <w:sz w:val="21"/>
          <w:szCs w:val="21"/>
        </w:rPr>
        <w:t>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1"/>
      </w:pBdr>
    </w:pPr>
    <w:r>
      <w:t>国家能源集团长源电力股份有限公司2025年第三季度报告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1C820EC9"/>
    <w:rsid w:val="21FC064D"/>
    <w:rsid w:val="350F300E"/>
    <w:rsid w:val="394E28E5"/>
    <w:rsid w:val="3A712273"/>
    <w:rsid w:val="47811F51"/>
    <w:rsid w:val="52AB36F5"/>
    <w:rsid w:val="54C93430"/>
    <w:rsid w:val="5A2B2677"/>
    <w:rsid w:val="5A7631BA"/>
    <w:rsid w:val="5E8E4992"/>
    <w:rsid w:val="77ED7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oc 1"/>
    <w:basedOn w:val="1"/>
    <w:next w:val="1"/>
    <w:qFormat/>
    <w:uiPriority w:val="39"/>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Header 1"/>
    <w:qFormat/>
    <w:uiPriority w:val="0"/>
    <w:pPr>
      <w:jc w:val="right"/>
    </w:pPr>
    <w:rPr>
      <w:rFonts w:ascii="宋体" w:hAnsi="Times New Roman" w:eastAsia="宋体" w:cs="Times New Roman"/>
      <w:sz w:val="18"/>
      <w:szCs w:val="18"/>
    </w:rPr>
  </w:style>
  <w:style w:type="paragraph" w:customStyle="1" w:styleId="12">
    <w:name w:val="heading h1"/>
    <w:basedOn w:val="1"/>
    <w:next w:val="1"/>
    <w:qFormat/>
    <w:uiPriority w:val="9"/>
    <w:pPr>
      <w:keepNext/>
      <w:keepLines/>
      <w:spacing w:before="240" w:after="240" w:line="578" w:lineRule="auto"/>
      <w:outlineLvl w:val="0"/>
    </w:pPr>
    <w:rPr>
      <w:kern w:val="44"/>
      <w:sz w:val="44"/>
      <w:szCs w:val="44"/>
    </w:rPr>
  </w:style>
  <w:style w:type="paragraph" w:customStyle="1" w:styleId="13">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30</TotalTime>
  <ScaleCrop>false</ScaleCrop>
  <LinksUpToDate>false</LinksUpToDate>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2025-10-15T07:57:00Z</dcterms:created>
  <dc:creator>LSadmin</dc:creator>
  <cp:lastModifiedBy>叶建兵</cp:lastModifiedBy>
  <dcterms:modified xsi:type="dcterms:W3CDTF">2025-10-30T03:27:30Z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3987329D74794FD48C42D7CAFFB4D3BD</vt:lpwstr>
  </property>
</Properties>
</file>