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Times New Roman" w:hAnsi="Times New Roman" w:eastAsia="宋体" w:cs="Times New Roman"/>
          <w:sz w:val="18"/>
          <w:szCs w:val="18"/>
        </w:rPr>
      </w:pPr>
      <w:r>
        <w:rPr>
          <w:rFonts w:hint="default" w:ascii="Times New Roman" w:hAnsi="Times New Roman" w:cs="Times New Roman"/>
          <w:sz w:val="24"/>
          <w:szCs w:val="24"/>
        </w:rPr>
        <w:t>证券代码：000966                            证券简称：长源电力                          公告编号：2025-0</w:t>
      </w:r>
      <w:r>
        <w:rPr>
          <w:rFonts w:hint="default" w:ascii="Times New Roman" w:hAnsi="Times New Roman" w:cs="Times New Roman"/>
          <w:sz w:val="24"/>
          <w:szCs w:val="24"/>
          <w:lang w:val="en-US" w:eastAsia="zh-CN"/>
        </w:rPr>
        <w:t>32</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国家能源集团长源电力股份有限公司</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2025年第一季度报告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0" w:beforeLines="0" w:after="0" w:afterLines="0" w:line="400" w:lineRule="exact"/>
              <w:ind w:firstLine="480" w:firstLineChars="200"/>
              <w:rPr>
                <w:rFonts w:hint="default" w:ascii="Times New Roman" w:hAnsi="Times New Roman" w:cs="Times New Roman"/>
                <w:color w:val="000000"/>
                <w:sz w:val="30"/>
                <w:highlight w:val="none"/>
              </w:rPr>
            </w:pPr>
            <w:r>
              <w:rPr>
                <w:rFonts w:hint="default" w:ascii="Times New Roman" w:hAnsi="Times New Roman" w:cs="Times New Roman"/>
                <w:color w:val="000000"/>
                <w:sz w:val="24"/>
                <w:highlight w:val="none"/>
              </w:rPr>
              <w:t>本公司及董事会全体成员保证信息披露的内容真实、准确、完整，没有虚假记载、误导性陈述或重大遗漏。</w:t>
            </w:r>
          </w:p>
        </w:tc>
      </w:tr>
    </w:tbl>
    <w:p>
      <w:pPr>
        <w:spacing w:before="40" w:after="40" w:line="42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重要内容提示：</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2.公司负责人、主管会计工作负责人及会计机构负责人(会计主管人员)声明：保证季度报告中财务信息的真实、准确、完整。</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3.第一季度报告是否经审计</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□是 </w:t>
      </w:r>
      <w:r>
        <w:rPr>
          <w:rFonts w:hint="default" w:ascii="Times New Roman" w:hAnsi="Times New Roman" w:eastAsia="宋体" w:cs="Times New Roman"/>
          <w:sz w:val="24"/>
          <w:szCs w:val="24"/>
        </w:rPr>
        <w:sym w:font="Wingdings 2" w:char="F052"/>
      </w:r>
      <w:r>
        <w:rPr>
          <w:rFonts w:hint="default" w:ascii="Times New Roman" w:hAnsi="Times New Roman" w:eastAsia="宋体" w:cs="Times New Roman"/>
          <w:sz w:val="24"/>
          <w:szCs w:val="24"/>
        </w:rPr>
        <w:t>否</w:t>
      </w:r>
    </w:p>
    <w:p>
      <w:pPr>
        <w:rPr>
          <w:rFonts w:hint="default" w:ascii="Times New Roman" w:hAnsi="Times New Roman" w:eastAsia="宋体" w:cs="Times New Roman"/>
          <w:b/>
          <w:bCs/>
          <w:sz w:val="24"/>
          <w:szCs w:val="24"/>
        </w:rPr>
      </w:pPr>
      <w:bookmarkStart w:id="0" w:name="_Toc988889"/>
    </w:p>
    <w:bookmarkEnd w:id="0"/>
    <w:p>
      <w:pPr>
        <w:keepNext/>
        <w:keepLines/>
        <w:spacing w:before="300" w:after="300" w:line="320" w:lineRule="exact"/>
        <w:jc w:val="left"/>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一、主要财务数据</w:t>
      </w:r>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1" w:name="_Toc988890"/>
      <w:r>
        <w:rPr>
          <w:rFonts w:hint="default" w:ascii="Times New Roman" w:hAnsi="Times New Roman" w:eastAsia="宋体" w:cs="Times New Roman"/>
          <w:b/>
          <w:bCs/>
          <w:sz w:val="21"/>
          <w:szCs w:val="21"/>
        </w:rPr>
        <w:t>（一） 主要会计数据和财务指标</w:t>
      </w:r>
      <w:bookmarkEnd w:id="1"/>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公司是否需追溯调整或重述以前年度会计数据</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3,329,739,104.65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-73,566,730.77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-78,450,560.39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243,678,516.64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890,644,163.93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969,645,088.54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40,145,013,654.25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13,568,868,495.98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13,607,442,805.32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-0.28%</w:t>
            </w:r>
          </w:p>
        </w:tc>
      </w:tr>
    </w:tbl>
    <w:p>
      <w:pPr>
        <w:spacing w:before="0" w:after="0" w:line="0" w:lineRule="exact"/>
        <w:jc w:val="left"/>
        <w:rPr>
          <w:rFonts w:hint="default" w:ascii="Times New Roman" w:hAnsi="Times New Roman" w:cs="Times New Roman"/>
        </w:rPr>
      </w:pPr>
    </w:p>
    <w:p>
      <w:pPr>
        <w:spacing w:before="0" w:after="0" w:line="0" w:lineRule="exact"/>
        <w:jc w:val="left"/>
        <w:rPr>
          <w:rFonts w:hint="default" w:ascii="Times New Roman" w:hAnsi="Times New Roman" w:cs="Times New Roman"/>
        </w:rPr>
      </w:pPr>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2" w:name="_Toc988891"/>
      <w:r>
        <w:rPr>
          <w:rFonts w:hint="default" w:ascii="Times New Roman" w:hAnsi="Times New Roman" w:eastAsia="宋体" w:cs="Times New Roman"/>
          <w:b/>
          <w:bCs/>
          <w:sz w:val="21"/>
          <w:szCs w:val="21"/>
        </w:rPr>
        <w:t>（二） 非经常性损益项目和金额</w:t>
      </w:r>
      <w:bookmarkEnd w:id="2"/>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-196,826.94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4,613,393.15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1,814,101.06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1,295,687.47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51,150.18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4,883,829.62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其他符合非经常性损益定义的损益项目的具体情况</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公司不存在其他符合非经常性损益定义的损益项目的具体情况。</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将《公开发行证券的公司信息披露解释性公告第1号——非经常性损益》中列举的非经常性损益项目界定为经常性损益项目的情况说明
</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3" w:name="_Toc988892"/>
      <w:r>
        <w:rPr>
          <w:rFonts w:hint="default" w:ascii="Times New Roman" w:hAnsi="Times New Roman" w:eastAsia="宋体" w:cs="Times New Roman"/>
          <w:b/>
          <w:bCs/>
          <w:sz w:val="21"/>
          <w:szCs w:val="21"/>
        </w:rPr>
        <w:t>（三） 主要会计数据和财务指标发生变动的情况及原因</w:t>
      </w:r>
      <w:bookmarkEnd w:id="3"/>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 资产负债表项目：</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（1）货币资金期末数为356,472,440.60元，比期初数增加54.68%，其主要原因系报告期末公司预留部分资金拟偿还到期银行借款所致；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（2）存货期末数为632,420,117.90元，比期初数减少33.67%，其主要原因系报告期内公司结合生产需要及燃煤市场价格走势调整存货策略所致；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（3）应付票据期末数为180,286,157.25元，比期初数减少38.69%，其主要原因系报告期内公司应付票据到期兑付所致；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（4）合同负债期末数为76,994,202.39元，比期初数增加63.78%，其主要原因系报告期内预收热力及固废排放物销售款增加所致；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（5）其他流动负债期末数为7,821,307.27元，比期初数增加76.47%，其主要原因系报告期内公司预收热费余额增加导致相关税费增加所致；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（6）专项储备期末数为140,599,691.05元，比期初数增加33.13%，其主要原因系报告期内根据政策计提了一季度的安全生产费所致。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 利润表项目：</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（1）税金及附加2025年1-3月公司发生数为28,468,264.48元，比上年同期增长37.79%，主要原因系报告期内水资源税调整至税金及附加核算及上年同期因增值税留抵附加税较少等原因所致；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（2）研发费用2025年1-3月发生数为12,181,464.84元，比上年同期数增长446.94%，其主要原因系报告期内公司开展部分研发活动所致；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（3）其他收益2025年1-3月发生数为6,406,487.49元，比上年同期数增长214.85%，其主要原因系报告期内公司收到增值税即征即退及政府奖励资金增加所致；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（4）投资收益2025年1-3月发生数为-4,981,087.91元，比上年同期数减少191.26%，其主要原因系报告期内公司参股企业净利润同比减少所致；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信用减值损失</w:t>
      </w:r>
      <w:r>
        <w:rPr>
          <w:rFonts w:hint="default" w:ascii="Times New Roman" w:hAnsi="Times New Roman" w:eastAsia="宋体" w:cs="Times New Roman"/>
          <w:sz w:val="24"/>
          <w:szCs w:val="24"/>
        </w:rPr>
        <w:t>2025年1-3月发生数为285,314.01元，比上年同期数减少</w:t>
      </w:r>
      <w:r>
        <w:rPr>
          <w:rFonts w:hint="default" w:ascii="Times New Roman" w:hAnsi="Times New Roman" w:eastAsia="宋体" w:cs="Times New Roman"/>
          <w:sz w:val="24"/>
          <w:szCs w:val="24"/>
          <w:lang w:val="en-US" w:eastAsia="zh-CN"/>
        </w:rPr>
        <w:t>81.76</w:t>
      </w:r>
      <w:r>
        <w:rPr>
          <w:rFonts w:hint="default" w:ascii="Times New Roman" w:hAnsi="Times New Roman" w:eastAsia="宋体" w:cs="Times New Roman"/>
          <w:sz w:val="24"/>
          <w:szCs w:val="24"/>
        </w:rPr>
        <w:t>%，其主要原因系报告期内</w:t>
      </w:r>
      <w:r>
        <w:rPr>
          <w:rFonts w:hint="default" w:ascii="Times New Roman" w:hAnsi="Times New Roman" w:eastAsia="宋体" w:cs="Times New Roman"/>
          <w:sz w:val="24"/>
          <w:szCs w:val="24"/>
          <w:lang w:eastAsia="zh-CN"/>
        </w:rPr>
        <w:t>公司收回应收账款相应转回坏账准备</w:t>
      </w:r>
      <w:r>
        <w:rPr>
          <w:rFonts w:hint="default" w:ascii="Times New Roman" w:hAnsi="Times New Roman" w:eastAsia="宋体" w:cs="Times New Roman"/>
          <w:sz w:val="24"/>
          <w:szCs w:val="24"/>
        </w:rPr>
        <w:t>同比减少所致；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（6）资产处置收益2025年1-3月发生数为-196,826.94元，比上年同期数减少111.62%，其主要原因系报告期内公司子公司资产处置收益减少所致；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）营业利润2025年1-3月发生数为-53,605,787.46元，比上年同期数减少115.24%，其主要原因系报告期内公司发电量及售电均价同比下降所致；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）营业外收入2025年1-3月发生数为1,966,127.01元，比上年同期数减少56.68%，其主要原因系报告期内公司收到政府补助减少等原因所致；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）利润总额2025年1-3月发生数为-51,791,686.40元，比上年同期数减少114.54%，其主要原因系报告期内公司发电量及售电均价同比下降所致；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）所得税费用2025年1-3月发生数为27,129,375.46元，比上年同期数减少72.72%，其主要原因系报告期内公司所属单位应纳税所得额同比下降所致；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）净利润2025年1-3月发生数为-78,921,061.86元，比上年同期数减少130.73%，其主要原因系报告期内公司发电量及售电均价同比下降所致；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）归属于母公司所有者的净利润2025年1-3月发生数为-73,566,730.77元，比上年同期数减少129.40%，其主要原因系报告期内公司净利润减少所致；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）少数股东损益2025年1-3月发生数为-5,354,331.09元，比上年同期数减少181.12%，其主要原因系报告期内公司非全资子公司净利润同比减少所致。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）基本每股收益2025年1-3月发生数为-0.0211元，比上年同期数减少123.19%，其主要原因系报告期内公司归属于母公司所有者的净利润减少及股本同比增加所致。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 现金流量表项目：</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（1）收到的税费返还2025年1-3月发生数为25,862,991.74元，比上年同期数减少54.11%，主要原因系报告期内公司收到增值税留抵退税款减少所致；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（2）收到其他与经营活动有关的现金2025年1-3月发生数为35,126,205.15元，比上年同期数减少66.91%，主要原因系报告期内公司收到单位间往来款项减少所致；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（3）支付的各项税费2025年1-3月发生数为254,993,154.98元，比上年同期数增加33.76%，主要原因系报告期内公司缴纳企业所得税增加等所致；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（4）支付其他与经营活动有关的现金2025年1-3月发生数为71,515,614.18元，比上年同期数减少60.34%，主要原因系报告期内公司支付单位间往来款项减少所致；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（5）处置固定资产、无形资产和其他长期资产收回的现金净额2025年1-3月发生数为2,022,246.20元，比上年同期数减少82.95%，主要原因系报告期内公司处置固定资产收到现金同比减少所致；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（6）投资活动现金流入小计2025年1-3月发生数为2,022,246.20元，比上年同期数减少82.95%，主要原因系报告期内公司处置固定资产、无形资产和其他长期资产收回的现金净额同比减少所致；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（7）偿还债务支付的现金2025年1-3月发生数为2,821,963,597.76元，比上年同期数减少31.39%，主要原因系报告期公司偿还银行借款同比减少所致。 </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（8）支付其他与筹资活动有关的现金2025年1-3月发生数为1,025,375.74元，比上年同期数减少38.78%，主要原因系报告期公司法透账户承诺费等减少所致。 </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（9）筹资活动现金流出小计2025年1-3月发生数为2,941,290,103.67元，比上年同期数减少30.97%，主要原因系报告期内公司偿还债务支付的现金减少等原因所致；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（10）筹资活动产生的现金流量净额2025年1-3月发生数为252,910,062.23元，比上年同期数增加427,371,067.49元，主要原因系报告期内公司偿还银行借款同比减少等原因所致；</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（11）现金及现金等价物净增加额2025年1-3月发生数为126,018,037.86元，比上年同期数增加433,541,696.83元，主要原因系报告期内公司结合期初资金余额和生产经营需要，偿还银行借款同比减少等原因所致。</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4" w:name="_Toc988893"/>
      <w:r>
        <w:rPr>
          <w:rFonts w:hint="default" w:ascii="Times New Roman" w:hAnsi="Times New Roman" w:eastAsia="宋体" w:cs="Times New Roman"/>
          <w:b/>
          <w:bCs/>
          <w:sz w:val="24"/>
          <w:szCs w:val="24"/>
        </w:rPr>
        <w:t xml:space="preserve">二、股东信息 </w:t>
      </w:r>
      <w:bookmarkEnd w:id="4"/>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5" w:name="_Toc988894"/>
      <w:r>
        <w:rPr>
          <w:rFonts w:hint="default" w:ascii="Times New Roman" w:hAnsi="Times New Roman" w:eastAsia="宋体" w:cs="Times New Roman"/>
          <w:b/>
          <w:bCs/>
          <w:sz w:val="21"/>
          <w:szCs w:val="21"/>
        </w:rPr>
        <w:t>（一） 普通股股东总数和表决权恢复的优先股股东数量及前十名股东持股情况表</w:t>
      </w:r>
      <w:bookmarkEnd w:id="5"/>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91,934</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4"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2,075,329,926.00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219,512,196.00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121,951,219.00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121,951,219.00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湖北省铁路发展基金有限责任公司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易米基金－日照钢铁控股集团有限公司－易米基金元启二号单一资产管理计划</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48,780,487.00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48,780,487.00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国家绿色发展基金股份有限公司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36,585,365.00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36,585,365.00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瑞众人寿保险有限责任公司－自有资金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23,455,121.00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12,195,121.00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江苏高投毅达绿色转型产业投资基金（有限合伙）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19,512,195.00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19,512,195.00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国调创新（北京）私募基金管理有限公司－国调创新私募股权投资基金（南昌）合伙企业（有限合伙）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19,512,195.00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19,512,195.00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4131" w:type="dxa"/>
            <w:gridSpan w:val="3"/>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14,331,008.00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14,331,008.00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10,660,000.00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招商银行股份有限公司－南方中证1000交易型开放式指数证券投资基金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8,624,200.00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8,624,200.00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万玉梅</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招商银行股份有限公司－华夏中证1000交易型开放式指数证券投资基金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4,627,000.00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4,627,000.00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李云初</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财通基金－协众创新私募证券投资基金－财通基金玉泉协众创新单一资产管理计划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3,826,955.00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3,826,955.00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广发证券股份有限公司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3,801,528.00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3,801,528.00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股东王梓煜，通过国泰君安证券股份有限公司客户信用交易担保证券账户持有本公司股票10,660,000股。</w:t>
            </w:r>
          </w:p>
        </w:tc>
      </w:tr>
    </w:tbl>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6" w:name="_Toc988895"/>
      <w:r>
        <w:rPr>
          <w:rFonts w:hint="default" w:ascii="Times New Roman" w:hAnsi="Times New Roman" w:eastAsia="宋体" w:cs="Times New Roman"/>
          <w:b/>
          <w:bCs/>
          <w:sz w:val="21"/>
          <w:szCs w:val="21"/>
        </w:rPr>
        <w:t>（二） 公司优先股股东总数及前10名优先股股东持股情况表</w:t>
      </w:r>
      <w:bookmarkEnd w:id="6"/>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7" w:name="_Toc988896"/>
      <w:r>
        <w:rPr>
          <w:rFonts w:hint="default" w:ascii="Times New Roman" w:hAnsi="Times New Roman" w:eastAsia="宋体" w:cs="Times New Roman"/>
          <w:b/>
          <w:bCs/>
          <w:sz w:val="24"/>
          <w:szCs w:val="24"/>
        </w:rPr>
        <w:t>三、其他重要事项</w:t>
      </w:r>
      <w:bookmarkEnd w:id="7"/>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适用 □不适用</w:t>
      </w:r>
    </w:p>
    <w:p>
      <w:pPr>
        <w:pStyle w:val="3"/>
        <w:keepNext w:val="0"/>
        <w:keepLines w:val="0"/>
        <w:widowControl/>
        <w:numPr>
          <w:ilvl w:val="0"/>
          <w:numId w:val="1"/>
        </w:numPr>
        <w:suppressLineNumbers w:val="0"/>
        <w:spacing w:before="0" w:beforeAutospacing="0" w:after="0" w:afterAutospacing="0" w:line="240" w:lineRule="auto"/>
        <w:ind w:right="0" w:rightChars="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rPr>
        <w:t>报告期内，公司系统安全生产局面稳定，累计完成发电量84.61亿千瓦时，上网电量80.18亿千瓦时，较去年同期分别降低11.7</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%、12.02%。</w:t>
      </w:r>
    </w:p>
    <w:p>
      <w:pPr>
        <w:pStyle w:val="3"/>
        <w:keepNext w:val="0"/>
        <w:keepLines w:val="0"/>
        <w:widowControl/>
        <w:numPr>
          <w:ilvl w:val="0"/>
          <w:numId w:val="0"/>
        </w:numPr>
        <w:suppressLineNumbers w:val="0"/>
        <w:spacing w:before="0" w:beforeAutospacing="0" w:after="0" w:afterAutospacing="0" w:line="240" w:lineRule="auto"/>
        <w:ind w:right="0" w:rightChars="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报告期内，公司未发生对外担保事项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截至本报告期末，公司对外担保余额为0。</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 报告期内，经公开招投标，公司全资子公司国能长源汉川发电有限公司（以下简称汉川公司）将其长源电力汉川公司四期2×1000MW扩建工程IMS智慧企业信息化基础设施建设项目交由公司关联方国能信控技术股份有限公司（以下简称国能信控）实施，项目中标金额为1,246.15万元（具体内容详见公司于</w:t>
      </w:r>
      <w:r>
        <w:rPr>
          <w:rFonts w:hint="default" w:ascii="Times New Roman" w:hAnsi="Times New Roman" w:eastAsia="宋体" w:cs="Times New Roman"/>
          <w:caps w:val="0"/>
          <w:spacing w:val="0"/>
          <w:sz w:val="24"/>
          <w:szCs w:val="24"/>
        </w:rPr>
        <w:t>2025</w:t>
      </w:r>
      <w:bookmarkStart w:id="15" w:name="_GoBack"/>
      <w:bookmarkEnd w:id="15"/>
      <w:r>
        <w:rPr>
          <w:rFonts w:hint="default" w:ascii="Times New Roman" w:hAnsi="Times New Roman" w:eastAsia="宋体" w:cs="Times New Roman"/>
          <w:caps w:val="0"/>
          <w:spacing w:val="0"/>
          <w:sz w:val="24"/>
          <w:szCs w:val="24"/>
        </w:rPr>
        <w:t>年2月10日</w:t>
      </w:r>
      <w:r>
        <w:rPr>
          <w:rFonts w:hint="default" w:ascii="Times New Roman" w:hAnsi="Times New Roman" w:eastAsia="宋体" w:cs="Times New Roman"/>
          <w:sz w:val="24"/>
          <w:szCs w:val="24"/>
        </w:rPr>
        <w:t>在《中国证券报》《证券时报》和巨潮资讯网上披露的《关于全资子公司长源电力汉川公司四期2×1000MW扩建工程IMS智慧企业信息化基础设施建设项目关联交易的公告》，公告编号：</w:t>
      </w:r>
      <w:r>
        <w:rPr>
          <w:rFonts w:hint="default" w:ascii="Times New Roman" w:hAnsi="Times New Roman" w:eastAsia="宋体" w:cs="Times New Roman"/>
          <w:caps w:val="0"/>
          <w:spacing w:val="0"/>
          <w:sz w:val="24"/>
          <w:szCs w:val="24"/>
        </w:rPr>
        <w:t>2025-004</w:t>
      </w:r>
      <w:r>
        <w:rPr>
          <w:rFonts w:hint="default" w:ascii="Times New Roman" w:hAnsi="Times New Roman" w:eastAsia="宋体" w:cs="Times New Roman"/>
          <w:sz w:val="24"/>
          <w:szCs w:val="24"/>
        </w:rPr>
        <w:t>）。报告期内，汉川</w:t>
      </w:r>
      <w:r>
        <w:rPr>
          <w:rFonts w:hint="default" w:ascii="Times New Roman" w:hAnsi="Times New Roman" w:eastAsia="宋体" w:cs="Times New Roman"/>
          <w:color w:val="000000"/>
          <w:sz w:val="24"/>
          <w:szCs w:val="24"/>
        </w:rPr>
        <w:t>公司</w:t>
      </w:r>
      <w:r>
        <w:rPr>
          <w:rFonts w:hint="default" w:ascii="Times New Roman" w:hAnsi="Times New Roman" w:eastAsia="宋体" w:cs="Times New Roman"/>
          <w:sz w:val="24"/>
          <w:szCs w:val="24"/>
        </w:rPr>
        <w:t>与</w:t>
      </w:r>
      <w:r>
        <w:rPr>
          <w:rFonts w:hint="default" w:ascii="Times New Roman" w:hAnsi="Times New Roman" w:eastAsia="宋体" w:cs="Times New Roman"/>
          <w:caps w:val="0"/>
          <w:spacing w:val="0"/>
          <w:sz w:val="24"/>
          <w:szCs w:val="24"/>
        </w:rPr>
        <w:t>国能信控</w:t>
      </w:r>
      <w:r>
        <w:rPr>
          <w:rFonts w:hint="default" w:ascii="Times New Roman" w:hAnsi="Times New Roman" w:eastAsia="宋体" w:cs="Times New Roman"/>
          <w:sz w:val="24"/>
          <w:szCs w:val="24"/>
        </w:rPr>
        <w:t>签署了《长源电力汉川公司四期2×1000MW扩建工程IMS智慧企业信息化基础设施建设项目合同》（具体内容详见公司于2025年3</w:t>
      </w:r>
      <w:r>
        <w:rPr>
          <w:rFonts w:hint="default" w:ascii="Times New Roman" w:hAnsi="Times New Roman" w:eastAsia="宋体" w:cs="Times New Roman"/>
          <w:caps w:val="0"/>
          <w:spacing w:val="0"/>
          <w:sz w:val="24"/>
          <w:szCs w:val="24"/>
        </w:rPr>
        <w:t>月1日</w:t>
      </w:r>
      <w:r>
        <w:rPr>
          <w:rFonts w:hint="default" w:ascii="Times New Roman" w:hAnsi="Times New Roman" w:eastAsia="宋体" w:cs="Times New Roman"/>
          <w:sz w:val="24"/>
          <w:szCs w:val="24"/>
        </w:rPr>
        <w:t>在《中国证券报》《证券时报》和巨潮资讯网上披露的《关于全资子公司长源电力汉川公司四期2×1000MW扩建工程IMS智慧企业信息化基础设施建设项目关联交易的进展公告》，公告编号：2025-007）。</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rPr>
        <w:t>. 报告期内，经公开招投标，公司全资子公司国能长源汉川发电有限公司（以下简称汉川公司）将其长源电力汉川公司四期2×1000MW扩建工程噪声治理EPC总承包工程交由公司关联方</w:t>
      </w:r>
      <w:r>
        <w:rPr>
          <w:rFonts w:hint="default" w:ascii="Times New Roman" w:hAnsi="Times New Roman" w:eastAsia="宋体" w:cs="Times New Roman"/>
          <w:caps w:val="0"/>
          <w:spacing w:val="0"/>
          <w:sz w:val="24"/>
          <w:szCs w:val="24"/>
        </w:rPr>
        <w:t>国能水务环保有限公司</w:t>
      </w:r>
      <w:r>
        <w:rPr>
          <w:rFonts w:hint="default" w:ascii="Times New Roman" w:hAnsi="Times New Roman" w:eastAsia="宋体" w:cs="Times New Roman"/>
          <w:sz w:val="24"/>
          <w:szCs w:val="24"/>
        </w:rPr>
        <w:t>（以下简称</w:t>
      </w:r>
      <w:r>
        <w:rPr>
          <w:rFonts w:hint="default" w:ascii="Times New Roman" w:hAnsi="Times New Roman" w:eastAsia="宋体" w:cs="Times New Roman"/>
          <w:caps w:val="0"/>
          <w:spacing w:val="0"/>
          <w:sz w:val="24"/>
          <w:szCs w:val="24"/>
        </w:rPr>
        <w:t>国能水务</w:t>
      </w:r>
      <w:r>
        <w:rPr>
          <w:rFonts w:hint="default" w:ascii="Times New Roman" w:hAnsi="Times New Roman" w:eastAsia="宋体" w:cs="Times New Roman"/>
          <w:sz w:val="24"/>
          <w:szCs w:val="24"/>
        </w:rPr>
        <w:t>）实施，项目中标金额为3,400.951573万元（具体内容详见公司于</w:t>
      </w:r>
      <w:r>
        <w:rPr>
          <w:rFonts w:hint="default" w:ascii="Times New Roman" w:hAnsi="Times New Roman" w:eastAsia="宋体" w:cs="Times New Roman"/>
          <w:caps w:val="0"/>
          <w:spacing w:val="0"/>
          <w:sz w:val="24"/>
          <w:szCs w:val="24"/>
        </w:rPr>
        <w:t>2025年2月27日</w:t>
      </w:r>
      <w:r>
        <w:rPr>
          <w:rFonts w:hint="default" w:ascii="Times New Roman" w:hAnsi="Times New Roman" w:eastAsia="宋体" w:cs="Times New Roman"/>
          <w:sz w:val="24"/>
          <w:szCs w:val="24"/>
        </w:rPr>
        <w:t>在《中国证券报》《证券时报》和巨潮资讯网上披露的《关于全资子公司长源电力汉川公司四期2×1000MW扩建工程噪声治理EPC总承包工程关联交易的公告》，公告编号：</w:t>
      </w:r>
      <w:r>
        <w:rPr>
          <w:rFonts w:hint="default" w:ascii="Times New Roman" w:hAnsi="Times New Roman" w:eastAsia="宋体" w:cs="Times New Roman"/>
          <w:caps w:val="0"/>
          <w:spacing w:val="0"/>
          <w:sz w:val="24"/>
          <w:szCs w:val="24"/>
        </w:rPr>
        <w:t>2025-006</w:t>
      </w:r>
      <w:r>
        <w:rPr>
          <w:rFonts w:hint="default" w:ascii="Times New Roman" w:hAnsi="Times New Roman" w:eastAsia="宋体" w:cs="Times New Roman"/>
          <w:sz w:val="24"/>
          <w:szCs w:val="24"/>
        </w:rPr>
        <w:t>）。报告期内，汉川</w:t>
      </w:r>
      <w:r>
        <w:rPr>
          <w:rFonts w:hint="default" w:ascii="Times New Roman" w:hAnsi="Times New Roman" w:eastAsia="宋体" w:cs="Times New Roman"/>
          <w:color w:val="000000"/>
          <w:sz w:val="24"/>
          <w:szCs w:val="24"/>
        </w:rPr>
        <w:t>公司</w:t>
      </w:r>
      <w:r>
        <w:rPr>
          <w:rFonts w:hint="default" w:ascii="Times New Roman" w:hAnsi="Times New Roman" w:eastAsia="宋体" w:cs="Times New Roman"/>
          <w:sz w:val="24"/>
          <w:szCs w:val="24"/>
        </w:rPr>
        <w:t>与</w:t>
      </w:r>
      <w:r>
        <w:rPr>
          <w:rFonts w:hint="default" w:ascii="Times New Roman" w:hAnsi="Times New Roman" w:eastAsia="宋体" w:cs="Times New Roman"/>
          <w:caps w:val="0"/>
          <w:spacing w:val="0"/>
          <w:sz w:val="24"/>
          <w:szCs w:val="24"/>
        </w:rPr>
        <w:t>国能水务</w:t>
      </w:r>
      <w:r>
        <w:rPr>
          <w:rFonts w:hint="default" w:ascii="Times New Roman" w:hAnsi="Times New Roman" w:eastAsia="宋体" w:cs="Times New Roman"/>
          <w:sz w:val="24"/>
          <w:szCs w:val="24"/>
        </w:rPr>
        <w:t>签署了《长源电力汉川公司四期2×1000MW扩建工程噪声治理EPC总承包合同》（具体内容详见公司于2025年3</w:t>
      </w:r>
      <w:r>
        <w:rPr>
          <w:rFonts w:hint="default" w:ascii="Times New Roman" w:hAnsi="Times New Roman" w:eastAsia="宋体" w:cs="Times New Roman"/>
          <w:caps w:val="0"/>
          <w:spacing w:val="0"/>
          <w:sz w:val="24"/>
          <w:szCs w:val="24"/>
        </w:rPr>
        <w:t>月22日</w:t>
      </w:r>
      <w:r>
        <w:rPr>
          <w:rFonts w:hint="default" w:ascii="Times New Roman" w:hAnsi="Times New Roman" w:eastAsia="宋体" w:cs="Times New Roman"/>
          <w:sz w:val="24"/>
          <w:szCs w:val="24"/>
        </w:rPr>
        <w:t>在《中国证券报》《证券时报》和巨潮资讯网上披露的《关于全资子公司长源电力汉川公司四期2×1000MW扩建工程噪声治理EPC总承包工程关联交易的进展公告》，公告编号：2025-015）。</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 报告期内，公司对2024年日常关联交易完成情况进行了统计，并对2025年日常关联交易</w:t>
      </w:r>
      <w:r>
        <w:rPr>
          <w:rFonts w:hint="default" w:ascii="Times New Roman" w:hAnsi="Times New Roman" w:eastAsia="宋体" w:cs="Times New Roman"/>
          <w:color w:val="000000"/>
          <w:sz w:val="24"/>
          <w:szCs w:val="24"/>
        </w:rPr>
        <w:t>额度进行了预计。</w:t>
      </w:r>
      <w:r>
        <w:rPr>
          <w:rFonts w:hint="default" w:ascii="Times New Roman" w:hAnsi="Times New Roman" w:eastAsia="宋体" w:cs="Times New Roman"/>
          <w:sz w:val="24"/>
          <w:szCs w:val="24"/>
        </w:rPr>
        <w:t>经核查，公司2024年日常关联交易实际发生金额约为929,371万元，未超过1,158,344万元的预计总额。预计公司2025年日常关联交易总额约为1,166,280万元（具体内容详见公司2025年3月14日在《中国证券报》《证券时报》和巨潮资讯网上披露的《关于公司2024年日常关联交易完成情况和2025年预计情况的公告》，公告编号：2025-011）。</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r>
        <w:rPr>
          <w:rFonts w:hint="default" w:ascii="Times New Roman" w:hAnsi="Times New Roman" w:eastAsia="宋体" w:cs="Times New Roman"/>
          <w:sz w:val="24"/>
          <w:szCs w:val="24"/>
        </w:rPr>
        <w:t>. 报告期内，公司对2024年存、贷款关联交易完成情况进行了统计，</w:t>
      </w:r>
      <w:r>
        <w:rPr>
          <w:rFonts w:hint="default" w:ascii="Times New Roman" w:hAnsi="Times New Roman" w:eastAsia="宋体" w:cs="Times New Roman"/>
          <w:color w:val="000000"/>
          <w:sz w:val="24"/>
          <w:szCs w:val="24"/>
        </w:rPr>
        <w:t>并对2025年</w:t>
      </w:r>
      <w:r>
        <w:rPr>
          <w:rFonts w:hint="default" w:ascii="Times New Roman" w:hAnsi="Times New Roman" w:eastAsia="宋体" w:cs="Times New Roman"/>
          <w:sz w:val="24"/>
          <w:szCs w:val="24"/>
        </w:rPr>
        <w:t>存、贷款关联交易额度进行了预计。经核查，</w:t>
      </w:r>
      <w:r>
        <w:rPr>
          <w:rFonts w:hint="default" w:ascii="Times New Roman" w:hAnsi="Times New Roman" w:eastAsia="宋体" w:cs="Times New Roman"/>
          <w:color w:val="000000"/>
          <w:sz w:val="24"/>
          <w:szCs w:val="24"/>
        </w:rPr>
        <w:t>2024年公司及控股子公司在国能财务</w:t>
      </w:r>
      <w:r>
        <w:rPr>
          <w:rFonts w:hint="default" w:ascii="Times New Roman" w:hAnsi="Times New Roman" w:eastAsia="宋体" w:cs="Times New Roman"/>
          <w:sz w:val="24"/>
          <w:szCs w:val="24"/>
        </w:rPr>
        <w:t>的每日存款余额最高上限发生数为22.09亿元，未超过年度预计额40亿元；公司向国能财务贷款业务每日余额最高上限发生数为112.47亿元，期末贷款余额为111.81亿元，票据承兑业务每日余额最高上限发生数为6.55亿，期末余额为1.69亿元，合计未超过年度预计额200亿元。预计2025年公司及控股子公司在国能财务每日最高存款限额为40亿元，预计2025年国能财务向公司及其控股子公司提供的直接贷款、票据承兑及贴现、非融资性保函合计每日余额不高于200亿元（具体内容详见公司2025年3月14日在《中国证券报》《证券时报》和巨潮资讯网上披露的《关于公司2024年存、贷款关联交易完成情况和2025年预计情况的公告》，公告编号：2025-010）。</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eastAsia="宋体" w:cs="Times New Roman"/>
          <w:sz w:val="24"/>
          <w:szCs w:val="24"/>
        </w:rPr>
        <w:t>. 报告期内，经公司2025年第一次独立董事专门会议、第十届董事会第三十一次会议及2025年第一次临时股东大会审议通过，同意公司退出湖北松滋抽水蓄能电站项目，并将项目整体以协议转让的方式转让给公司关联方国家能源集团湖北能源有限公司控股的国能湖北松滋抽水蓄能有限公司</w:t>
      </w:r>
      <w:r>
        <w:rPr>
          <w:rFonts w:hint="eastAsia" w:cs="Times New Roman"/>
          <w:color w:val="auto"/>
          <w:szCs w:val="24"/>
          <w:highlight w:val="none"/>
          <w:lang w:eastAsia="zh-CN"/>
        </w:rPr>
        <w:t>（以下简称松滋公司）</w:t>
      </w:r>
      <w:r>
        <w:rPr>
          <w:rFonts w:hint="default" w:ascii="Times New Roman" w:hAnsi="Times New Roman" w:eastAsia="宋体" w:cs="Times New Roman"/>
          <w:sz w:val="24"/>
          <w:szCs w:val="24"/>
        </w:rPr>
        <w:t>，转让价格按北京中企华资产评估有限责任公司出具的经国有资产管理单位备案的评估报告所确定的评估值为基础定价，最终确定的评估值为34,085.22万元（具体内容详见公司于2025年3</w:t>
      </w:r>
      <w:r>
        <w:rPr>
          <w:rFonts w:hint="default" w:ascii="Times New Roman" w:hAnsi="Times New Roman" w:eastAsia="宋体" w:cs="Times New Roman"/>
          <w:caps w:val="0"/>
          <w:spacing w:val="0"/>
          <w:sz w:val="24"/>
          <w:szCs w:val="24"/>
        </w:rPr>
        <w:t>月14日、4月3日</w:t>
      </w:r>
      <w:r>
        <w:rPr>
          <w:rFonts w:hint="default" w:ascii="Times New Roman" w:hAnsi="Times New Roman" w:eastAsia="宋体" w:cs="Times New Roman"/>
          <w:sz w:val="24"/>
          <w:szCs w:val="24"/>
        </w:rPr>
        <w:t>在《中国证券报》《证券时报》和巨潮资讯网上披露的有关公告，公告编号：</w:t>
      </w:r>
      <w:r>
        <w:rPr>
          <w:rFonts w:hint="default" w:ascii="Times New Roman" w:hAnsi="Times New Roman" w:eastAsia="宋体" w:cs="Times New Roman"/>
          <w:caps w:val="0"/>
          <w:spacing w:val="0"/>
          <w:sz w:val="24"/>
          <w:szCs w:val="24"/>
        </w:rPr>
        <w:t>2025-009、012、016</w:t>
      </w:r>
      <w:r>
        <w:rPr>
          <w:rFonts w:hint="default" w:ascii="Times New Roman" w:hAnsi="Times New Roman" w:eastAsia="宋体" w:cs="Times New Roman"/>
          <w:sz w:val="24"/>
          <w:szCs w:val="24"/>
        </w:rPr>
        <w:t>）。</w:t>
      </w:r>
      <w:r>
        <w:rPr>
          <w:rFonts w:hint="eastAsia" w:cs="Times New Roman"/>
          <w:color w:val="auto"/>
          <w:szCs w:val="24"/>
          <w:highlight w:val="none"/>
          <w:lang w:val="en-US" w:eastAsia="zh-CN"/>
        </w:rPr>
        <w:t>2025年4月13日，公司与松滋公司签署了</w:t>
      </w:r>
      <w:r>
        <w:rPr>
          <w:rFonts w:hint="eastAsia"/>
          <w:color w:val="auto"/>
          <w:szCs w:val="24"/>
          <w:highlight w:val="none"/>
        </w:rPr>
        <w:t>《湖北松滋抽水蓄能电站项目转让协议》</w:t>
      </w:r>
      <w:r>
        <w:rPr>
          <w:rFonts w:hint="eastAsia"/>
          <w:color w:val="auto"/>
          <w:szCs w:val="24"/>
          <w:highlight w:val="none"/>
          <w:lang w:eastAsia="zh-CN"/>
        </w:rPr>
        <w:t>（</w:t>
      </w:r>
      <w:r>
        <w:rPr>
          <w:rFonts w:hint="default" w:ascii="Times New Roman" w:hAnsi="Times New Roman" w:cs="Times New Roman"/>
          <w:color w:val="auto"/>
          <w:szCs w:val="24"/>
          <w:highlight w:val="none"/>
        </w:rPr>
        <w:t>具体内容详见公司于202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年</w:t>
      </w:r>
      <w:r>
        <w:rPr>
          <w:rFonts w:hint="eastAsia" w:cs="Times New Roman"/>
          <w:color w:val="auto"/>
          <w:szCs w:val="24"/>
          <w:highlight w:val="none"/>
          <w:lang w:val="en-US" w:eastAsia="zh-CN"/>
        </w:rPr>
        <w:t>4</w:t>
      </w:r>
      <w:r>
        <w:rPr>
          <w:rFonts w:hint="default" w:ascii="Times New Roman" w:hAnsi="Times New Roman" w:cs="Times New Roman"/>
          <w:color w:val="auto"/>
          <w:szCs w:val="24"/>
          <w:highlight w:val="none"/>
        </w:rPr>
        <w:t>月</w:t>
      </w:r>
      <w:r>
        <w:rPr>
          <w:rFonts w:hint="eastAsia" w:cs="Times New Roman"/>
          <w:color w:val="auto"/>
          <w:szCs w:val="24"/>
          <w:highlight w:val="none"/>
          <w:lang w:val="en-US" w:eastAsia="zh-CN"/>
        </w:rPr>
        <w:t>15</w:t>
      </w:r>
      <w:r>
        <w:rPr>
          <w:rFonts w:hint="default" w:ascii="Times New Roman" w:hAnsi="Times New Roman" w:cs="Times New Roman"/>
          <w:color w:val="auto"/>
          <w:szCs w:val="24"/>
          <w:highlight w:val="none"/>
        </w:rPr>
        <w:t>日在《中国证券报》《证券时报》和巨潮资讯网上披露的《关于协议转让湖北松滋抽水蓄能电站项目关联交易的</w:t>
      </w:r>
      <w:r>
        <w:rPr>
          <w:rFonts w:hint="eastAsia" w:cs="Times New Roman"/>
          <w:color w:val="auto"/>
          <w:szCs w:val="24"/>
          <w:highlight w:val="none"/>
          <w:lang w:eastAsia="zh-CN"/>
        </w:rPr>
        <w:t>进展</w:t>
      </w:r>
      <w:r>
        <w:rPr>
          <w:rFonts w:hint="default" w:ascii="Times New Roman" w:hAnsi="Times New Roman" w:cs="Times New Roman"/>
          <w:color w:val="auto"/>
          <w:szCs w:val="24"/>
          <w:highlight w:val="none"/>
        </w:rPr>
        <w:t>公告》，公告编号：202</w:t>
      </w:r>
      <w:r>
        <w:rPr>
          <w:rFonts w:hint="eastAsia" w:cs="Times New Roman"/>
          <w:color w:val="auto"/>
          <w:szCs w:val="24"/>
          <w:highlight w:val="none"/>
          <w:lang w:val="en-US" w:eastAsia="zh-CN"/>
        </w:rPr>
        <w:t>5</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021</w:t>
      </w:r>
      <w:r>
        <w:rPr>
          <w:rFonts w:hint="eastAsia"/>
          <w:color w:val="auto"/>
          <w:szCs w:val="24"/>
          <w:highlight w:val="none"/>
          <w:lang w:eastAsia="zh-CN"/>
        </w:rPr>
        <w:t>）。</w:t>
      </w:r>
    </w:p>
    <w:p>
      <w:pPr>
        <w:keepNext/>
        <w:keepLines/>
        <w:spacing w:before="300" w:after="300" w:line="320" w:lineRule="exact"/>
        <w:jc w:val="left"/>
        <w:outlineLvl w:val="0"/>
        <w:rPr>
          <w:rFonts w:hint="default" w:ascii="Times New Roman" w:hAnsi="Times New Roman" w:eastAsia="宋体" w:cs="Times New Roman"/>
          <w:b/>
          <w:bCs/>
          <w:sz w:val="24"/>
          <w:szCs w:val="24"/>
        </w:rPr>
      </w:pPr>
      <w:bookmarkStart w:id="8" w:name="_Toc988897"/>
      <w:r>
        <w:rPr>
          <w:rFonts w:hint="default" w:ascii="Times New Roman" w:hAnsi="Times New Roman" w:eastAsia="宋体" w:cs="Times New Roman"/>
          <w:b/>
          <w:bCs/>
          <w:sz w:val="24"/>
          <w:szCs w:val="24"/>
        </w:rPr>
        <w:t>四、季度财务报表</w:t>
      </w:r>
      <w:bookmarkEnd w:id="8"/>
    </w:p>
    <w:p>
      <w:pPr>
        <w:keepNext/>
        <w:keepLines/>
        <w:spacing w:before="300" w:after="300" w:line="280" w:lineRule="exact"/>
        <w:jc w:val="left"/>
        <w:outlineLvl w:val="1"/>
        <w:rPr>
          <w:rFonts w:hint="default" w:ascii="Times New Roman" w:hAnsi="Times New Roman" w:eastAsia="宋体" w:cs="Times New Roman"/>
          <w:b/>
          <w:bCs/>
          <w:sz w:val="21"/>
          <w:szCs w:val="21"/>
        </w:rPr>
      </w:pPr>
      <w:bookmarkStart w:id="9" w:name="_Toc988898"/>
      <w:r>
        <w:rPr>
          <w:rFonts w:hint="default" w:ascii="Times New Roman" w:hAnsi="Times New Roman" w:eastAsia="宋体" w:cs="Times New Roman"/>
          <w:b/>
          <w:bCs/>
          <w:sz w:val="21"/>
          <w:szCs w:val="21"/>
        </w:rPr>
        <w:t>（一） 财务报表</w:t>
      </w:r>
      <w:bookmarkEnd w:id="9"/>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10" w:name="_Toc988899"/>
      <w:r>
        <w:rPr>
          <w:rFonts w:hint="default" w:ascii="Times New Roman" w:hAnsi="Times New Roman" w:eastAsia="宋体" w:cs="Times New Roman"/>
          <w:b/>
          <w:bCs/>
          <w:sz w:val="21"/>
          <w:szCs w:val="21"/>
        </w:rPr>
        <w:t>1、合并资产负债表</w:t>
      </w:r>
      <w:bookmarkEnd w:id="10"/>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编制单位：国家能源集团长源电力股份有限公司</w:t>
      </w:r>
    </w:p>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2025年03月31日</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356,472,440.60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230,454,402.74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25,248,033.54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24,609,859.88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1,734,449,564.00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2,296,333,914.79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465,648,560.77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465,169,850.02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18,035,749.03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16,674,148.80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632,420,117.90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953,381,654.15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922,796,066.02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775,140,549.84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4,155,070,531.86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4,761,764,380.22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298,426,813.09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303,407,901.00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47,434,417.62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47,434,417.62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126,959,697.23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128,422,232.66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27,068,899,206.72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27,369,245,057.35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4,893,307,936.55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3,908,071,475.49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668,733,000.17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672,420,637.46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813,116,104.84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818,504,054.87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56,115,567.63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57,682,359.34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100,585,909.02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96,050,864.65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1,077,839,518.89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1,360,940,103.06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35,989,943,122.39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35,600,704,054.13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40,145,013,654.25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4,201,159,599.72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4,230,984,364.79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180,286,157.25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294,067,786.65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1,791,468,571.96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2,204,215,636.97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11,532,936.46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12,294,033.08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76,994,202.39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47,011,110.83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116,975,192.46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110,893,678.75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225,235,060.42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273,993,997.20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650,152,146.58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672,888,144.66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1,674,793,205.52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2,025,632,683.76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7,821,307.27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4,432,025.33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8,936,418,380.03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9,876,413,462.02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16,483,801,152.65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15,734,134,094.10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588,579,317.78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570,860,301.55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7,911,768.42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7,911,768.42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192,147,645.42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193,240,838.73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15,974,403.47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16,428,516.49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17,288,414,287.74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16,522,575,519.29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26,224,832,667.77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26,398,988,981.31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5,505,267,194.24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5,505,267,194.24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-25,069,324.06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-25,069,324.06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140,599,691.05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105,607,269.62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255,191,544.01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255,191,544.01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4,211,844,374.74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4,285,411,105.51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13,568,868,495.98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13,607,442,805.32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351,312,490.50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356,036,647.72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13,920,180,986.48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13,963,479,453.04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40,145,013,654.25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11" w:name="_Toc988900"/>
      <w:r>
        <w:rPr>
          <w:rFonts w:hint="default" w:ascii="Times New Roman" w:hAnsi="Times New Roman" w:eastAsia="宋体" w:cs="Times New Roman"/>
          <w:b/>
          <w:bCs/>
          <w:sz w:val="21"/>
          <w:szCs w:val="21"/>
        </w:rPr>
        <w:t>2、合并利润表</w:t>
      </w:r>
      <w:bookmarkEnd w:id="11"/>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3,329,739,104.65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3,329,739,104.65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4,224,055,747.26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3,384,858,778.76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3,883,412,464.07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3,191,364,156.77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3,689,759,179.50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28,468,264.48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20,661,086.93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40,283,865.79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37,981,566.83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12,181,464.84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2,227,184.46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112,561,026.88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132,783,446.35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110,913,705.47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129,141,015.83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371,959.16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393,824.23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6,406,487.49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2,034,773.25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-4,981,087.91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5,457,973.73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-4,981,087.91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5,457,973.73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285,314.01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1,564,265.80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286,792.45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-196,826.94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1,693,498.62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-53,605,787.46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351,680,587.04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1,966,127.01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4,538,150.26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152,025.95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-51,791,686.40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356,218,737.30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27,129,375.46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99,432,821.31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-73,566,730.77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-5,354,331.09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6,600,282.33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256,785,915.99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-73,566,730.77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250,185,633.66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-5,354,331.09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6,600,282.33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0.0910</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本期发生同一控制下企业合并的，被合并方在合并前实现的净利润为：元，上期被合并方实现的净利润为：元。</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12" w:name="_Toc988901"/>
      <w:r>
        <w:rPr>
          <w:rFonts w:hint="default" w:ascii="Times New Roman" w:hAnsi="Times New Roman" w:eastAsia="宋体" w:cs="Times New Roman"/>
          <w:b/>
          <w:bCs/>
          <w:sz w:val="21"/>
          <w:szCs w:val="21"/>
        </w:rPr>
        <w:t>3、合并现金流量表</w:t>
      </w:r>
      <w:bookmarkEnd w:id="12"/>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4,402,365,360.41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5,136,837,737.52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25,862,991.74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56,352,738.98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35,126,205.15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106,157,507.73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4,463,354,557.30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5,299,347,984.23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2,867,042,791.66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3,578,409,658.42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379,158,832.55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380,309,073.78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254,993,154.98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190,640,157.18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71,515,614.18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180,344,006.31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3,572,710,393.37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4,329,702,895.69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890,644,163.93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969,645,088.54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2,022,246.20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11,861,387.62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2,022,246.20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11,861,387.62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1,019,558,434.50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1,114,569,129.87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1,019,558,434.50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1,114,569,129.87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-1,017,536,188.30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-1,102,707,742.25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3,194,200,165.90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4,086,292,209.30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44,333.34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3,194,200,165.90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4,086,559,997.64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2,821,963,597.76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4,112,784,302.08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118,301,130.17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146,561,875.04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1,025,375.74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1,674,825.78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2,941,290,103.67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4,261,021,002.90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252,910,062.23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-174,461,005.26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126,018,037.86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-307,523,658.97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229,684,174.16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607,036,568.09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355,702,212.02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299,512,909.12</w:t>
            </w:r>
          </w:p>
        </w:tc>
      </w:tr>
    </w:tbl>
    <w:p>
      <w:pPr>
        <w:keepNext/>
        <w:keepLines/>
        <w:spacing w:before="300" w:after="300" w:line="280" w:lineRule="exact"/>
        <w:jc w:val="left"/>
        <w:outlineLvl w:val="1"/>
        <w:rPr>
          <w:rFonts w:hint="default" w:ascii="Times New Roman" w:hAnsi="Times New Roman" w:eastAsia="宋体" w:cs="Times New Roman"/>
          <w:b/>
          <w:bCs/>
          <w:sz w:val="25"/>
          <w:szCs w:val="25"/>
        </w:rPr>
      </w:pPr>
      <w:bookmarkStart w:id="13" w:name="_Toc988902"/>
      <w:r>
        <w:rPr>
          <w:rFonts w:hint="default" w:ascii="Times New Roman" w:hAnsi="Times New Roman" w:eastAsia="宋体" w:cs="Times New Roman"/>
          <w:b/>
          <w:bCs/>
          <w:sz w:val="25"/>
          <w:szCs w:val="25"/>
        </w:rPr>
        <w:t>（二） 2025年起首次执行新会计准则调整首次执行当年年初财务报表相关项目情况</w:t>
      </w:r>
      <w:bookmarkEnd w:id="13"/>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不适用</w:t>
      </w:r>
    </w:p>
    <w:p>
      <w:pPr>
        <w:keepNext/>
        <w:keepLines/>
        <w:spacing w:before="300" w:after="300" w:line="280" w:lineRule="exact"/>
        <w:jc w:val="left"/>
        <w:outlineLvl w:val="1"/>
        <w:rPr>
          <w:rFonts w:hint="default" w:ascii="Times New Roman" w:hAnsi="Times New Roman" w:eastAsia="宋体" w:cs="Times New Roman"/>
          <w:b/>
          <w:bCs/>
          <w:sz w:val="25"/>
          <w:szCs w:val="25"/>
        </w:rPr>
      </w:pPr>
      <w:bookmarkStart w:id="14" w:name="_Toc988903"/>
      <w:r>
        <w:rPr>
          <w:rFonts w:hint="default" w:ascii="Times New Roman" w:hAnsi="Times New Roman" w:eastAsia="宋体" w:cs="Times New Roman"/>
          <w:b/>
          <w:bCs/>
          <w:sz w:val="25"/>
          <w:szCs w:val="25"/>
        </w:rPr>
        <w:t>（三） 审计报告</w:t>
      </w:r>
      <w:bookmarkEnd w:id="14"/>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第一季度报告是否经过审计</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default" w:ascii="Times New Roman" w:hAnsi="Times New Roman" w:eastAsia="宋体" w:cs="Times New Roman"/>
          <w:sz w:val="18"/>
          <w:szCs w:val="18"/>
        </w:rPr>
        <w:sym w:font="Wingdings 2" w:char="F052"/>
      </w:r>
      <w:r>
        <w:rPr>
          <w:rFonts w:hint="default" w:ascii="Times New Roman" w:hAnsi="Times New Roman" w:eastAsia="宋体" w:cs="Times New Roman"/>
          <w:sz w:val="18"/>
          <w:szCs w:val="18"/>
        </w:rPr>
        <w:t>否</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公司第一季度报告未经审计。</w:t>
      </w:r>
    </w:p>
    <w:p>
      <w:pPr>
        <w:spacing w:before="40" w:after="40" w:line="240" w:lineRule="exact"/>
        <w:jc w:val="right"/>
        <w:rPr>
          <w:rFonts w:hint="default" w:ascii="Times New Roman" w:hAnsi="Times New Roman" w:eastAsia="宋体" w:cs="Times New Roman"/>
          <w:sz w:val="24"/>
          <w:szCs w:val="24"/>
        </w:rPr>
      </w:pPr>
    </w:p>
    <w:p>
      <w:pPr>
        <w:spacing w:before="40" w:after="40" w:line="240" w:lineRule="exact"/>
        <w:jc w:val="right"/>
        <w:rPr>
          <w:rFonts w:hint="default" w:ascii="Times New Roman" w:hAnsi="Times New Roman" w:eastAsia="宋体" w:cs="Times New Roman"/>
          <w:sz w:val="24"/>
          <w:szCs w:val="24"/>
        </w:rPr>
      </w:pPr>
    </w:p>
    <w:p>
      <w:pPr>
        <w:spacing w:before="40" w:after="40" w:line="2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国家能源集团长源电力股份有限公司董事会</w:t>
      </w:r>
    </w:p>
    <w:p>
      <w:pPr>
        <w:spacing w:before="0" w:after="0"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2025年4月2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国家能源集团长源电力股份有限公司2025年第一季度报告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4392A"/>
    <w:multiLevelType w:val="singleLevel"/>
    <w:tmpl w:val="492439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doNotExpandShiftReturn/>
    <w:useFELayout/>
    <w:compatSetting w:name="compatibilityMode" w:uri="http://schemas.microsoft.com/office/word" w:val="14"/>
  </w:compat>
  <w:rsids>
    <w:rsidRoot w:val="00000000"/>
    <w:rsid w:val="09185397"/>
    <w:rsid w:val="2D902326"/>
    <w:rsid w:val="422619BD"/>
    <w:rsid w:val="509D7822"/>
    <w:rsid w:val="61AD3C17"/>
    <w:rsid w:val="70BE5C10"/>
    <w:rsid w:val="71EE4C49"/>
    <w:rsid w:val="79951709"/>
    <w:rsid w:val="7C7E0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2025-04-10T09:34:00Z</dcterms:created>
  <dc:creator>LSadmin</dc:creator>
  <cp:lastModifiedBy>刘硕02</cp:lastModifiedBy>
  <cp:lastPrinted>2025-04-22T09:25:00Z</cp:lastPrinted>
  <dcterms:modified xsi:type="dcterms:W3CDTF">2025-04-25T06:24:41Z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8F9320A2256847DB84EFA9E27AF13327</vt:lpwstr>
  </property>
</Properties>
</file>